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val="0"/>
        <w:spacing w:line="720" w:lineRule="exact"/>
        <w:jc w:val="center"/>
        <w:rPr>
          <w:rFonts w:ascii="方正小标宋简体" w:hAnsi="宋体" w:eastAsia="方正小标宋简体" w:cs="宋体"/>
          <w:b/>
          <w:kern w:val="0"/>
          <w:sz w:val="44"/>
          <w:szCs w:val="44"/>
        </w:rPr>
      </w:pPr>
    </w:p>
    <w:p>
      <w:pPr>
        <w:widowControl/>
        <w:wordWrap w:val="0"/>
        <w:spacing w:line="720" w:lineRule="exact"/>
        <w:jc w:val="center"/>
        <w:rPr>
          <w:rFonts w:ascii="方正小标宋简体" w:hAnsi="宋体" w:eastAsia="方正小标宋简体" w:cs="宋体"/>
          <w:bCs/>
          <w:kern w:val="0"/>
          <w:sz w:val="44"/>
          <w:szCs w:val="44"/>
        </w:rPr>
      </w:pPr>
      <w:r>
        <w:rPr>
          <w:rFonts w:hint="eastAsia" w:ascii="方正小标宋简体" w:hAnsi="宋体" w:eastAsia="方正小标宋简体" w:cs="宋体"/>
          <w:bCs/>
          <w:kern w:val="0"/>
          <w:sz w:val="44"/>
          <w:szCs w:val="44"/>
        </w:rPr>
        <w:t>华南农业大学林学与风景园林学院研究生学业奖学金（老生）评选工作细则</w:t>
      </w:r>
    </w:p>
    <w:p>
      <w:pPr>
        <w:widowControl/>
        <w:wordWrap w:val="0"/>
        <w:spacing w:line="720" w:lineRule="exact"/>
        <w:jc w:val="center"/>
        <w:rPr>
          <w:rFonts w:ascii="方正小标宋简体" w:hAnsi="宋体" w:eastAsia="方正小标宋简体" w:cs="宋体"/>
          <w:kern w:val="0"/>
          <w:sz w:val="44"/>
          <w:szCs w:val="44"/>
        </w:rPr>
      </w:pPr>
    </w:p>
    <w:p>
      <w:pPr>
        <w:widowControl/>
        <w:spacing w:line="56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 xml:space="preserve">第一条 总则  </w:t>
      </w:r>
    </w:p>
    <w:p>
      <w:pPr>
        <w:widowControl/>
        <w:spacing w:line="560" w:lineRule="exact"/>
        <w:ind w:firstLine="640" w:firstLineChars="200"/>
        <w:jc w:val="left"/>
        <w:rPr>
          <w:rFonts w:ascii="仿宋_GB2312" w:hAnsi="Verdana" w:eastAsia="仿宋_GB2312" w:cs="宋体"/>
          <w:kern w:val="0"/>
          <w:sz w:val="32"/>
          <w:szCs w:val="32"/>
        </w:rPr>
      </w:pPr>
      <w:r>
        <w:rPr>
          <w:rFonts w:hint="eastAsia" w:ascii="仿宋_GB2312" w:hAnsi="宋体" w:eastAsia="仿宋_GB2312" w:cs="宋体"/>
          <w:kern w:val="0"/>
          <w:sz w:val="32"/>
          <w:szCs w:val="32"/>
        </w:rPr>
        <w:t>为加强和提高我院研究生的教育管理，进一步规范我院研究生评优工作，根据《华南农业大学研究生国家奖助学金实施办法》的文件精神，结合我院实际情况，特制定《华南农业大学林学与风景园林学院研究生学业奖学金（老生）评选工作细则》。本细则的实施，旨在通过对研究生德、智、体等各方面表现进行量化，为研究生评奖评优工作提供一个较为合理、全面、科学的评价方案，引导学院研究生自觉提高综合素质和全面发展，从而进一步提高我院研究生的培养质量。</w:t>
      </w:r>
    </w:p>
    <w:p>
      <w:pPr>
        <w:widowControl/>
        <w:spacing w:line="56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第二条 评选程序</w:t>
      </w:r>
    </w:p>
    <w:p>
      <w:pPr>
        <w:widowControl/>
        <w:spacing w:line="560" w:lineRule="exact"/>
        <w:ind w:firstLine="640" w:firstLineChars="200"/>
        <w:jc w:val="left"/>
        <w:rPr>
          <w:rFonts w:ascii="仿宋_GB2312" w:hAnsi="Verdana" w:eastAsia="仿宋_GB2312" w:cs="宋体"/>
          <w:kern w:val="0"/>
          <w:sz w:val="32"/>
          <w:szCs w:val="32"/>
        </w:rPr>
      </w:pPr>
      <w:r>
        <w:rPr>
          <w:rFonts w:hint="eastAsia" w:ascii="仿宋_GB2312" w:hAnsi="宋体" w:eastAsia="仿宋_GB2312" w:cs="宋体"/>
          <w:kern w:val="0"/>
          <w:sz w:val="32"/>
          <w:szCs w:val="32"/>
        </w:rPr>
        <w:t>（一）学院根据学校相关规定公布评选奖项类别、申报条件及名额；</w:t>
      </w:r>
    </w:p>
    <w:p>
      <w:pPr>
        <w:widowControl/>
        <w:spacing w:line="560" w:lineRule="exact"/>
        <w:ind w:firstLine="640" w:firstLineChars="200"/>
        <w:jc w:val="left"/>
        <w:rPr>
          <w:rFonts w:ascii="仿宋_GB2312" w:hAnsi="Verdana" w:eastAsia="仿宋_GB2312" w:cs="宋体"/>
          <w:kern w:val="0"/>
          <w:sz w:val="32"/>
          <w:szCs w:val="32"/>
        </w:rPr>
      </w:pPr>
      <w:r>
        <w:rPr>
          <w:rFonts w:hint="eastAsia" w:ascii="仿宋_GB2312" w:hAnsi="宋体" w:eastAsia="仿宋_GB2312" w:cs="宋体"/>
          <w:kern w:val="0"/>
          <w:sz w:val="32"/>
          <w:szCs w:val="32"/>
        </w:rPr>
        <w:t>（二）拟申请者在规定期限内按要求填写学业奖学金申请登记表，逾期未申请者视为自动放弃，责任自负；</w:t>
      </w:r>
    </w:p>
    <w:p>
      <w:pPr>
        <w:widowControl/>
        <w:spacing w:line="560" w:lineRule="exact"/>
        <w:ind w:firstLine="640" w:firstLineChars="200"/>
        <w:jc w:val="left"/>
        <w:rPr>
          <w:rFonts w:ascii="仿宋_GB2312" w:hAnsi="Verdana" w:eastAsia="仿宋_GB2312" w:cs="宋体"/>
          <w:kern w:val="0"/>
          <w:sz w:val="32"/>
          <w:szCs w:val="32"/>
        </w:rPr>
      </w:pPr>
      <w:r>
        <w:rPr>
          <w:rFonts w:hint="eastAsia" w:ascii="仿宋_GB2312" w:hAnsi="宋体" w:eastAsia="仿宋_GB2312" w:cs="宋体"/>
          <w:kern w:val="0"/>
          <w:sz w:val="32"/>
          <w:szCs w:val="32"/>
        </w:rPr>
        <w:t>（三）评选工作由各班班委组织汇总后对申请者的实际情况进行考核，进行初步筛选；</w:t>
      </w:r>
    </w:p>
    <w:p>
      <w:pPr>
        <w:widowControl/>
        <w:spacing w:line="560" w:lineRule="exact"/>
        <w:ind w:firstLine="640" w:firstLineChars="200"/>
        <w:jc w:val="left"/>
        <w:rPr>
          <w:rFonts w:ascii="仿宋_GB2312" w:hAnsi="Verdana" w:eastAsia="仿宋_GB2312" w:cs="宋体"/>
          <w:kern w:val="0"/>
          <w:sz w:val="32"/>
          <w:szCs w:val="32"/>
        </w:rPr>
      </w:pPr>
      <w:r>
        <w:rPr>
          <w:rFonts w:hint="eastAsia" w:ascii="仿宋_GB2312" w:hAnsi="宋体" w:eastAsia="仿宋_GB2312" w:cs="宋体"/>
          <w:kern w:val="0"/>
          <w:sz w:val="32"/>
          <w:szCs w:val="32"/>
        </w:rPr>
        <w:t>（四）按照量化考核标准计算得分；</w:t>
      </w:r>
    </w:p>
    <w:p>
      <w:pPr>
        <w:widowControl/>
        <w:spacing w:line="560" w:lineRule="exact"/>
        <w:ind w:firstLine="640" w:firstLineChars="200"/>
        <w:jc w:val="left"/>
        <w:rPr>
          <w:rFonts w:ascii="仿宋_GB2312" w:hAnsi="Verdana" w:eastAsia="仿宋_GB2312" w:cs="宋体"/>
          <w:kern w:val="0"/>
          <w:sz w:val="32"/>
          <w:szCs w:val="32"/>
        </w:rPr>
      </w:pPr>
      <w:r>
        <w:rPr>
          <w:rFonts w:hint="eastAsia" w:ascii="仿宋_GB2312" w:hAnsi="宋体" w:eastAsia="仿宋_GB2312" w:cs="宋体"/>
          <w:kern w:val="0"/>
          <w:sz w:val="32"/>
          <w:szCs w:val="32"/>
        </w:rPr>
        <w:t>（五）学院负责研究生工作的政治辅导员、学院团委、研究生会预审；</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（六）公示初评结果并征求意见；</w:t>
      </w:r>
    </w:p>
    <w:p>
      <w:pPr>
        <w:widowControl/>
        <w:spacing w:line="560" w:lineRule="exact"/>
        <w:ind w:firstLine="640" w:firstLineChars="200"/>
        <w:jc w:val="left"/>
        <w:rPr>
          <w:rFonts w:ascii="仿宋_GB2312" w:hAnsi="Verdana" w:eastAsia="仿宋_GB2312" w:cs="宋体"/>
          <w:kern w:val="0"/>
          <w:sz w:val="32"/>
          <w:szCs w:val="32"/>
        </w:rPr>
      </w:pPr>
      <w:r>
        <w:rPr>
          <w:rFonts w:hint="eastAsia" w:ascii="仿宋_GB2312" w:hAnsi="宋体" w:eastAsia="仿宋_GB2312" w:cs="宋体"/>
          <w:kern w:val="0"/>
          <w:sz w:val="32"/>
          <w:szCs w:val="32"/>
        </w:rPr>
        <w:t>（七）学院研究生奖助学金评审工作小组审核并确定最终评定结果。工作小组由学院党委书记担任组长，成员由学院党政领导、辅导员、研究生导师代表和研究生代表组成。</w:t>
      </w:r>
    </w:p>
    <w:p>
      <w:pPr>
        <w:widowControl/>
        <w:spacing w:line="560" w:lineRule="exact"/>
        <w:ind w:firstLine="640" w:firstLineChars="200"/>
        <w:jc w:val="left"/>
        <w:rPr>
          <w:rFonts w:ascii="仿宋_GB2312" w:hAnsi="Verdana" w:eastAsia="仿宋_GB2312" w:cs="宋体"/>
          <w:kern w:val="0"/>
          <w:sz w:val="32"/>
          <w:szCs w:val="32"/>
        </w:rPr>
      </w:pPr>
      <w:r>
        <w:rPr>
          <w:rFonts w:hint="eastAsia" w:ascii="仿宋_GB2312" w:hAnsi="宋体" w:eastAsia="仿宋_GB2312" w:cs="宋体"/>
          <w:kern w:val="0"/>
          <w:sz w:val="32"/>
          <w:szCs w:val="32"/>
        </w:rPr>
        <w:t>（八）公示候选人材料；</w:t>
      </w:r>
    </w:p>
    <w:p>
      <w:pPr>
        <w:widowControl/>
        <w:spacing w:line="560" w:lineRule="exact"/>
        <w:ind w:firstLine="640" w:firstLineChars="200"/>
        <w:jc w:val="left"/>
        <w:rPr>
          <w:rFonts w:ascii="仿宋_GB2312" w:hAnsi="Verdana" w:eastAsia="仿宋_GB2312" w:cs="宋体"/>
          <w:kern w:val="0"/>
          <w:sz w:val="32"/>
          <w:szCs w:val="32"/>
        </w:rPr>
      </w:pPr>
      <w:r>
        <w:rPr>
          <w:rFonts w:hint="eastAsia" w:ascii="仿宋_GB2312" w:hAnsi="宋体" w:eastAsia="仿宋_GB2312" w:cs="宋体"/>
          <w:kern w:val="0"/>
          <w:sz w:val="32"/>
          <w:szCs w:val="32"/>
        </w:rPr>
        <w:t>（九）获奖同学按要求填写存档材料，学院评审工作小组签署意见；</w:t>
      </w:r>
    </w:p>
    <w:p>
      <w:pPr>
        <w:widowControl/>
        <w:spacing w:line="560" w:lineRule="exact"/>
        <w:ind w:firstLine="640" w:firstLineChars="200"/>
        <w:jc w:val="left"/>
        <w:rPr>
          <w:rFonts w:ascii="仿宋_GB2312" w:hAnsi="Verdana" w:eastAsia="仿宋_GB2312" w:cs="宋体"/>
          <w:kern w:val="0"/>
          <w:sz w:val="32"/>
          <w:szCs w:val="32"/>
        </w:rPr>
      </w:pPr>
      <w:r>
        <w:rPr>
          <w:rFonts w:hint="eastAsia" w:ascii="仿宋_GB2312" w:hAnsi="宋体" w:eastAsia="仿宋_GB2312" w:cs="宋体"/>
          <w:kern w:val="0"/>
          <w:sz w:val="32"/>
          <w:szCs w:val="32"/>
        </w:rPr>
        <w:t>（十）报学校学生工作部（研究生工作部）审核，学校批准。</w:t>
      </w:r>
    </w:p>
    <w:p>
      <w:pPr>
        <w:widowControl/>
        <w:spacing w:line="56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第三条 评选原则</w:t>
      </w:r>
    </w:p>
    <w:p>
      <w:pPr>
        <w:widowControl/>
        <w:spacing w:line="560" w:lineRule="exact"/>
        <w:ind w:firstLine="640" w:firstLineChars="200"/>
        <w:jc w:val="left"/>
        <w:rPr>
          <w:rFonts w:ascii="仿宋_GB2312" w:hAnsi="Verdana" w:eastAsia="仿宋_GB2312" w:cs="宋体"/>
          <w:kern w:val="0"/>
          <w:sz w:val="32"/>
          <w:szCs w:val="32"/>
        </w:rPr>
      </w:pPr>
      <w:r>
        <w:rPr>
          <w:rFonts w:hint="eastAsia" w:ascii="仿宋_GB2312" w:hAnsi="宋体" w:eastAsia="仿宋_GB2312" w:cs="宋体"/>
          <w:kern w:val="0"/>
          <w:sz w:val="32"/>
          <w:szCs w:val="32"/>
        </w:rPr>
        <w:t>（一）学业奖学金评选根据个人在思想品德与集体观念、学习成绩、学术与科技成果等三个方面的情况综合评选。各项佐证内容应为上一年度9月1日至本年度8月31日期间获得；</w:t>
      </w:r>
    </w:p>
    <w:p>
      <w:pPr>
        <w:widowControl/>
        <w:spacing w:line="560" w:lineRule="exact"/>
        <w:ind w:firstLine="640" w:firstLineChars="200"/>
        <w:jc w:val="left"/>
        <w:rPr>
          <w:rFonts w:ascii="仿宋_GB2312" w:hAnsi="Verdana" w:eastAsia="仿宋_GB2312" w:cs="宋体"/>
          <w:kern w:val="0"/>
          <w:sz w:val="32"/>
          <w:szCs w:val="32"/>
        </w:rPr>
      </w:pPr>
      <w:r>
        <w:rPr>
          <w:rFonts w:hint="eastAsia" w:ascii="仿宋_GB2312" w:hAnsi="宋体" w:eastAsia="仿宋_GB2312" w:cs="宋体"/>
          <w:kern w:val="0"/>
          <w:sz w:val="32"/>
          <w:szCs w:val="32"/>
        </w:rPr>
        <w:t>（二）学院将奖励类别、名额、设立单位、奖励目的与范围和申报条件向研究生公布，拟申请者可选择一个志愿填写申请表，根据规定，每人限自主申报一项；</w:t>
      </w:r>
    </w:p>
    <w:p>
      <w:pPr>
        <w:widowControl/>
        <w:spacing w:line="560" w:lineRule="exact"/>
        <w:ind w:firstLine="640" w:firstLineChars="200"/>
        <w:jc w:val="left"/>
        <w:rPr>
          <w:rFonts w:ascii="仿宋_GB2312" w:hAnsi="Verdana" w:eastAsia="仿宋_GB2312" w:cs="宋体"/>
          <w:kern w:val="0"/>
          <w:sz w:val="32"/>
          <w:szCs w:val="32"/>
        </w:rPr>
      </w:pPr>
      <w:r>
        <w:rPr>
          <w:rFonts w:hint="eastAsia" w:ascii="仿宋_GB2312" w:hAnsi="宋体" w:eastAsia="仿宋_GB2312" w:cs="宋体"/>
          <w:kern w:val="0"/>
          <w:sz w:val="32"/>
          <w:szCs w:val="32"/>
        </w:rPr>
        <w:t>（三）在申请同类奖项和级别上采用量化考核分值进行排序，从高到低择优确定人选，申报学业奖学金的按学校给予名额优先确定一等奖获奖名单，再依序确定二、三等奖获奖名单；</w:t>
      </w:r>
    </w:p>
    <w:p>
      <w:pPr>
        <w:widowControl/>
        <w:spacing w:line="560" w:lineRule="exact"/>
        <w:ind w:firstLine="640" w:firstLineChars="200"/>
        <w:jc w:val="left"/>
        <w:rPr>
          <w:rFonts w:ascii="仿宋_GB2312" w:hAnsi="Verdana" w:eastAsia="仿宋_GB2312" w:cs="宋体"/>
          <w:kern w:val="0"/>
          <w:sz w:val="32"/>
          <w:szCs w:val="32"/>
        </w:rPr>
      </w:pPr>
      <w:r>
        <w:rPr>
          <w:rFonts w:hint="eastAsia" w:ascii="仿宋_GB2312" w:hAnsi="宋体" w:eastAsia="仿宋_GB2312" w:cs="宋体"/>
          <w:kern w:val="0"/>
          <w:sz w:val="32"/>
          <w:szCs w:val="32"/>
        </w:rPr>
        <w:t>分值相同的排序方法如下：先比较科研部分得分；如科研部分得分相同，则比较学习成绩平均分；如学习成绩平均分相同，则比较学习成绩</w:t>
      </w:r>
      <w:r>
        <w:rPr>
          <w:rFonts w:hint="eastAsia" w:ascii="仿宋_GB2312" w:hAnsi="宋体" w:eastAsia="仿宋_GB2312" w:cs="宋体"/>
          <w:kern w:val="0"/>
          <w:sz w:val="32"/>
          <w:szCs w:val="32"/>
          <w:lang w:val="en-US" w:eastAsia="zh-CN"/>
        </w:rPr>
        <w:t>加权</w:t>
      </w:r>
      <w:r>
        <w:rPr>
          <w:rFonts w:hint="eastAsia" w:ascii="仿宋_GB2312" w:hAnsi="宋体" w:eastAsia="仿宋_GB2312" w:cs="宋体"/>
          <w:kern w:val="0"/>
          <w:sz w:val="32"/>
          <w:szCs w:val="32"/>
        </w:rPr>
        <w:t>分。</w:t>
      </w:r>
    </w:p>
    <w:p>
      <w:pPr>
        <w:widowControl/>
        <w:spacing w:line="560" w:lineRule="exact"/>
        <w:ind w:firstLine="640" w:firstLineChars="200"/>
        <w:jc w:val="left"/>
        <w:rPr>
          <w:rFonts w:ascii="仿宋_GB2312" w:hAnsi="Verdana" w:eastAsia="仿宋_GB2312" w:cs="宋体"/>
          <w:kern w:val="0"/>
          <w:sz w:val="32"/>
          <w:szCs w:val="32"/>
        </w:rPr>
      </w:pPr>
      <w:r>
        <w:rPr>
          <w:rFonts w:hint="eastAsia" w:ascii="仿宋_GB2312" w:hAnsi="宋体" w:eastAsia="仿宋_GB2312" w:cs="宋体"/>
          <w:kern w:val="0"/>
          <w:sz w:val="32"/>
          <w:szCs w:val="32"/>
        </w:rPr>
        <w:t>（四）研究生有下列情形之一者，不得参评：</w:t>
      </w:r>
    </w:p>
    <w:p>
      <w:pPr>
        <w:widowControl/>
        <w:spacing w:line="560" w:lineRule="exact"/>
        <w:ind w:firstLine="640" w:firstLineChars="200"/>
        <w:jc w:val="left"/>
        <w:rPr>
          <w:rFonts w:ascii="仿宋_GB2312" w:hAnsi="Verdana" w:eastAsia="仿宋_GB2312" w:cs="宋体"/>
          <w:kern w:val="0"/>
          <w:sz w:val="32"/>
          <w:szCs w:val="32"/>
        </w:rPr>
      </w:pPr>
      <w:r>
        <w:rPr>
          <w:rFonts w:hint="eastAsia" w:ascii="仿宋_GB2312" w:hAnsi="宋体" w:eastAsia="仿宋_GB2312" w:cs="宋体"/>
          <w:kern w:val="0"/>
          <w:sz w:val="32"/>
          <w:szCs w:val="32"/>
        </w:rPr>
        <w:t>1.在学期间，触犯法律、法规，被追究法律责任的；</w:t>
      </w:r>
    </w:p>
    <w:p>
      <w:pPr>
        <w:widowControl/>
        <w:spacing w:line="560" w:lineRule="exact"/>
        <w:ind w:firstLine="640" w:firstLineChars="200"/>
        <w:jc w:val="left"/>
        <w:rPr>
          <w:rFonts w:ascii="仿宋_GB2312" w:hAnsi="Verdana" w:eastAsia="仿宋_GB2312" w:cs="宋体"/>
          <w:kern w:val="0"/>
          <w:sz w:val="32"/>
          <w:szCs w:val="32"/>
        </w:rPr>
      </w:pPr>
      <w:r>
        <w:rPr>
          <w:rFonts w:hint="eastAsia" w:ascii="仿宋_GB2312" w:hAnsi="宋体" w:eastAsia="仿宋_GB2312" w:cs="宋体"/>
          <w:kern w:val="0"/>
          <w:sz w:val="32"/>
          <w:szCs w:val="32"/>
        </w:rPr>
        <w:t>2.在学期间，存在违反学术道德规范或存在学术不端行为者；</w:t>
      </w:r>
    </w:p>
    <w:p>
      <w:pPr>
        <w:widowControl/>
        <w:spacing w:line="560" w:lineRule="exact"/>
        <w:ind w:firstLine="640" w:firstLineChars="200"/>
        <w:jc w:val="left"/>
        <w:rPr>
          <w:rFonts w:ascii="仿宋_GB2312" w:hAnsi="Verdana" w:eastAsia="仿宋_GB2312" w:cs="宋体"/>
          <w:kern w:val="0"/>
          <w:sz w:val="32"/>
          <w:szCs w:val="32"/>
        </w:rPr>
      </w:pPr>
      <w:r>
        <w:rPr>
          <w:rFonts w:hint="eastAsia" w:ascii="仿宋_GB2312" w:hAnsi="宋体" w:eastAsia="仿宋_GB2312" w:cs="宋体"/>
          <w:kern w:val="0"/>
          <w:sz w:val="32"/>
          <w:szCs w:val="32"/>
        </w:rPr>
        <w:t>3.在学期间，有违法或受到学校记过及以上纪律处分者；</w:t>
      </w:r>
    </w:p>
    <w:p>
      <w:pPr>
        <w:widowControl/>
        <w:spacing w:line="560" w:lineRule="exact"/>
        <w:ind w:firstLine="640" w:firstLineChars="200"/>
        <w:jc w:val="left"/>
        <w:rPr>
          <w:rFonts w:ascii="仿宋_GB2312" w:hAnsi="Verdana" w:eastAsia="仿宋_GB2312" w:cs="宋体"/>
          <w:kern w:val="0"/>
          <w:sz w:val="32"/>
          <w:szCs w:val="32"/>
        </w:rPr>
      </w:pPr>
      <w:r>
        <w:rPr>
          <w:rFonts w:hint="eastAsia" w:ascii="仿宋_GB2312" w:hAnsi="宋体" w:eastAsia="仿宋_GB2312" w:cs="宋体"/>
          <w:kern w:val="0"/>
          <w:sz w:val="32"/>
          <w:szCs w:val="32"/>
        </w:rPr>
        <w:t>4.参评年度，受到学院、学校通报批评或警告、严重警告纪律处分者；</w:t>
      </w:r>
    </w:p>
    <w:p>
      <w:pPr>
        <w:widowControl/>
        <w:spacing w:line="560" w:lineRule="exact"/>
        <w:ind w:firstLine="640" w:firstLineChars="200"/>
        <w:jc w:val="left"/>
        <w:rPr>
          <w:rFonts w:ascii="仿宋_GB2312" w:hAnsi="Verdana" w:eastAsia="仿宋_GB2312" w:cs="宋体"/>
          <w:kern w:val="0"/>
          <w:sz w:val="32"/>
          <w:szCs w:val="32"/>
        </w:rPr>
      </w:pPr>
      <w:r>
        <w:rPr>
          <w:rFonts w:hint="eastAsia" w:ascii="仿宋_GB2312" w:hAnsi="宋体" w:eastAsia="仿宋_GB2312" w:cs="宋体"/>
          <w:kern w:val="0"/>
          <w:sz w:val="32"/>
          <w:szCs w:val="32"/>
        </w:rPr>
        <w:t>5.参评年度，有课程考试成绩不及格者；</w:t>
      </w:r>
    </w:p>
    <w:p>
      <w:pPr>
        <w:widowControl/>
        <w:spacing w:line="560" w:lineRule="exact"/>
        <w:ind w:firstLine="640" w:firstLineChars="200"/>
        <w:jc w:val="left"/>
        <w:rPr>
          <w:rFonts w:ascii="仿宋_GB2312" w:hAnsi="Verdana" w:eastAsia="仿宋_GB2312" w:cs="宋体"/>
          <w:kern w:val="0"/>
          <w:sz w:val="32"/>
          <w:szCs w:val="32"/>
        </w:rPr>
      </w:pPr>
      <w:r>
        <w:rPr>
          <w:rFonts w:hint="eastAsia" w:ascii="仿宋_GB2312" w:hAnsi="宋体" w:eastAsia="仿宋_GB2312" w:cs="宋体"/>
          <w:kern w:val="0"/>
          <w:sz w:val="32"/>
          <w:szCs w:val="32"/>
        </w:rPr>
        <w:t>6.参评年度，休学半年以上者。</w:t>
      </w:r>
    </w:p>
    <w:p>
      <w:pPr>
        <w:widowControl/>
        <w:spacing w:line="560" w:lineRule="exact"/>
        <w:ind w:firstLine="640" w:firstLineChars="200"/>
        <w:jc w:val="left"/>
        <w:rPr>
          <w:rFonts w:ascii="仿宋_GB2312" w:hAnsi="Verdana" w:eastAsia="仿宋_GB2312" w:cs="宋体"/>
          <w:kern w:val="0"/>
          <w:sz w:val="32"/>
          <w:szCs w:val="32"/>
        </w:rPr>
      </w:pPr>
      <w:r>
        <w:rPr>
          <w:rFonts w:hint="eastAsia" w:ascii="仿宋_GB2312" w:hAnsi="宋体" w:eastAsia="仿宋_GB2312" w:cs="宋体"/>
          <w:kern w:val="0"/>
          <w:sz w:val="32"/>
          <w:szCs w:val="32"/>
        </w:rPr>
        <w:t>（五）所有参评优秀研究生的科研成果必须是以华南农业大学为第一完成单位，如果代表其他单位完成的科研成果、学术作品请不要作为参评材料。</w:t>
      </w:r>
    </w:p>
    <w:p>
      <w:pPr>
        <w:widowControl/>
        <w:spacing w:line="56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第四条 评选内容和名额分配</w:t>
      </w:r>
    </w:p>
    <w:p>
      <w:pPr>
        <w:widowControl/>
        <w:spacing w:line="560" w:lineRule="exact"/>
        <w:ind w:firstLine="640" w:firstLineChars="200"/>
        <w:jc w:val="left"/>
        <w:rPr>
          <w:rFonts w:ascii="仿宋_GB2312" w:hAnsi="Verdana" w:eastAsia="仿宋_GB2312" w:cs="宋体"/>
          <w:kern w:val="0"/>
          <w:sz w:val="32"/>
          <w:szCs w:val="32"/>
        </w:rPr>
      </w:pPr>
      <w:r>
        <w:rPr>
          <w:rFonts w:hint="eastAsia" w:ascii="仿宋_GB2312" w:hAnsi="宋体" w:eastAsia="仿宋_GB2312" w:cs="宋体"/>
          <w:kern w:val="0"/>
          <w:sz w:val="32"/>
          <w:szCs w:val="32"/>
        </w:rPr>
        <w:t>本细则适用于学籍在华南农业大学林学与风景园林学院全日制研究生(包括硕士生和博士生、包括学术型和专业型)，推迟毕业的研究生没有参评资格。根据学校分配的名额，硕士研究生按照所在班级人数比例进行分配，博士研究生按所在年级排序，按照四舍五入的方法计算每个单位奖学金的获奖人数。</w:t>
      </w:r>
    </w:p>
    <w:p>
      <w:pPr>
        <w:widowControl/>
        <w:spacing w:line="56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第五条 评选细则</w:t>
      </w:r>
    </w:p>
    <w:p>
      <w:pPr>
        <w:widowControl/>
        <w:tabs>
          <w:tab w:val="left" w:pos="351"/>
        </w:tabs>
        <w:spacing w:line="560" w:lineRule="exact"/>
        <w:ind w:firstLine="640" w:firstLineChars="200"/>
        <w:jc w:val="left"/>
        <w:rPr>
          <w:rFonts w:ascii="仿宋_GB2312" w:hAnsi="Verdana" w:eastAsia="仿宋_GB2312" w:cs="宋体"/>
          <w:kern w:val="0"/>
          <w:sz w:val="32"/>
          <w:szCs w:val="32"/>
        </w:rPr>
      </w:pPr>
      <w:r>
        <w:rPr>
          <w:rFonts w:hint="eastAsia" w:ascii="仿宋_GB2312" w:hAnsi="宋体" w:eastAsia="仿宋_GB2312" w:cs="宋体"/>
          <w:kern w:val="0"/>
          <w:sz w:val="32"/>
          <w:szCs w:val="32"/>
        </w:rPr>
        <w:t>评选根据申请者在思想品德与集体观念、学习成绩、学术与科技成果等三个方面的综合表现进行评分。</w:t>
      </w:r>
    </w:p>
    <w:p>
      <w:pPr>
        <w:widowControl/>
        <w:spacing w:line="560" w:lineRule="exact"/>
        <w:ind w:firstLine="643" w:firstLineChars="200"/>
        <w:jc w:val="left"/>
        <w:rPr>
          <w:rFonts w:ascii="仿宋_GB2312" w:hAnsi="Verdana" w:eastAsia="仿宋_GB2312" w:cs="宋体"/>
          <w:kern w:val="0"/>
          <w:sz w:val="32"/>
          <w:szCs w:val="32"/>
        </w:rPr>
      </w:pPr>
      <w:r>
        <w:rPr>
          <w:rFonts w:hint="eastAsia" w:ascii="仿宋_GB2312" w:hAnsi="宋体" w:eastAsia="仿宋_GB2312" w:cs="宋体"/>
          <w:b/>
          <w:kern w:val="0"/>
          <w:sz w:val="32"/>
          <w:szCs w:val="32"/>
        </w:rPr>
        <w:t>（一）思想品德与集体观念（满分20分），基本分3分</w:t>
      </w:r>
    </w:p>
    <w:p>
      <w:pPr>
        <w:widowControl/>
        <w:spacing w:line="560" w:lineRule="exact"/>
        <w:ind w:firstLine="640" w:firstLineChars="200"/>
        <w:jc w:val="left"/>
        <w:rPr>
          <w:rFonts w:ascii="仿宋_GB2312" w:hAnsi="宋体" w:eastAsia="仿宋_GB2312" w:cs="宋体"/>
          <w:kern w:val="0"/>
          <w:sz w:val="32"/>
          <w:szCs w:val="32"/>
          <w:highlight w:val="yellow"/>
        </w:rPr>
      </w:pPr>
      <w:r>
        <w:rPr>
          <w:rFonts w:hint="eastAsia" w:ascii="仿宋_GB2312" w:hAnsi="宋体" w:eastAsia="仿宋_GB2312" w:cs="宋体"/>
          <w:kern w:val="0"/>
          <w:sz w:val="32"/>
          <w:szCs w:val="32"/>
        </w:rPr>
        <w:t>1.积极参加学校、学院组织的各项</w:t>
      </w:r>
      <w:r>
        <w:rPr>
          <w:rFonts w:hint="eastAsia" w:ascii="仿宋_GB2312" w:hAnsi="宋体" w:eastAsia="仿宋_GB2312" w:cs="宋体"/>
          <w:kern w:val="0"/>
          <w:sz w:val="32"/>
          <w:szCs w:val="32"/>
          <w:lang w:val="en-US" w:eastAsia="zh-CN"/>
        </w:rPr>
        <w:t>集体</w:t>
      </w:r>
      <w:r>
        <w:rPr>
          <w:rFonts w:hint="eastAsia" w:ascii="仿宋_GB2312" w:hAnsi="宋体" w:eastAsia="仿宋_GB2312" w:cs="宋体"/>
          <w:kern w:val="0"/>
          <w:sz w:val="32"/>
          <w:szCs w:val="32"/>
        </w:rPr>
        <w:t>活动3次，可获基本分3分，不满3次者无基本分。</w:t>
      </w:r>
      <w:r>
        <w:rPr>
          <w:rFonts w:hint="eastAsia" w:ascii="仿宋_GB2312" w:hAnsi="宋体" w:eastAsia="仿宋_GB2312" w:cs="宋体"/>
          <w:kern w:val="0"/>
          <w:sz w:val="32"/>
          <w:szCs w:val="32"/>
          <w:highlight w:val="none"/>
        </w:rPr>
        <w:t>每参加多一次加1分，加分项最高可加5分。此项上限为8分。</w:t>
      </w:r>
    </w:p>
    <w:p>
      <w:pPr>
        <w:widowControl/>
        <w:spacing w:line="560" w:lineRule="exact"/>
        <w:ind w:firstLine="640" w:firstLineChars="20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rPr>
        <w:t>集体活动主要包括：迎新工作，迎新元旦晚会，三八节女生活动，语言能力竞赛，辩论赛，英语竞赛，各项体育活动比赛，征文比赛，歌唱比赛，知识竞赛等</w:t>
      </w:r>
      <w:r>
        <w:rPr>
          <w:rFonts w:hint="eastAsia" w:ascii="仿宋_GB2312" w:hAnsi="宋体" w:eastAsia="仿宋_GB2312" w:cs="宋体"/>
          <w:kern w:val="0"/>
          <w:sz w:val="32"/>
          <w:szCs w:val="32"/>
          <w:highlight w:val="none"/>
        </w:rPr>
        <w:t>（此类加分以学院研究生会统计公示结果为准，</w:t>
      </w:r>
      <w:r>
        <w:rPr>
          <w:rFonts w:hint="eastAsia" w:ascii="仿宋_GB2312" w:hAnsi="宋体" w:eastAsia="仿宋_GB2312" w:cs="宋体"/>
          <w:kern w:val="0"/>
          <w:sz w:val="32"/>
          <w:szCs w:val="32"/>
          <w:highlight w:val="none"/>
          <w:lang w:val="en-US" w:eastAsia="zh-CN"/>
        </w:rPr>
        <w:t>其他学院以及</w:t>
      </w:r>
      <w:r>
        <w:rPr>
          <w:rFonts w:hint="eastAsia" w:ascii="仿宋_GB2312" w:hAnsi="宋体" w:eastAsia="仿宋_GB2312" w:cs="宋体"/>
          <w:kern w:val="0"/>
          <w:sz w:val="32"/>
          <w:szCs w:val="32"/>
          <w:highlight w:val="none"/>
        </w:rPr>
        <w:t>学校</w:t>
      </w:r>
      <w:r>
        <w:rPr>
          <w:rFonts w:hint="eastAsia" w:ascii="仿宋_GB2312" w:hAnsi="宋体" w:eastAsia="仿宋_GB2312" w:cs="宋体"/>
          <w:kern w:val="0"/>
          <w:sz w:val="32"/>
          <w:szCs w:val="32"/>
          <w:highlight w:val="none"/>
          <w:lang w:val="en-US" w:eastAsia="zh-CN"/>
        </w:rPr>
        <w:t>的</w:t>
      </w:r>
      <w:r>
        <w:rPr>
          <w:rFonts w:hint="eastAsia" w:ascii="仿宋_GB2312" w:hAnsi="宋体" w:eastAsia="仿宋_GB2312" w:cs="宋体"/>
          <w:kern w:val="0"/>
          <w:sz w:val="32"/>
          <w:szCs w:val="32"/>
          <w:highlight w:val="none"/>
        </w:rPr>
        <w:t>活动以加盖公章的证书及证明为准）。</w:t>
      </w:r>
    </w:p>
    <w:p>
      <w:pPr>
        <w:widowControl/>
        <w:spacing w:line="560" w:lineRule="exact"/>
        <w:ind w:firstLine="640" w:firstLineChars="200"/>
        <w:jc w:val="left"/>
        <w:rPr>
          <w:rFonts w:ascii="仿宋_GB2312" w:hAnsi="Verdana" w:eastAsia="仿宋_GB2312" w:cs="宋体"/>
          <w:kern w:val="0"/>
          <w:sz w:val="32"/>
          <w:szCs w:val="32"/>
        </w:rPr>
      </w:pPr>
      <w:r>
        <w:rPr>
          <w:rFonts w:hint="eastAsia" w:ascii="仿宋_GB2312" w:hAnsi="宋体" w:eastAsia="仿宋_GB2312" w:cs="宋体"/>
          <w:kern w:val="0"/>
          <w:sz w:val="32"/>
          <w:szCs w:val="32"/>
        </w:rPr>
        <w:t>2.爱国、公益等行为受到受院、处表彰者，每人次加1分；受校级表彰者，每人次加2分；受市、省级表彰者，每人次加3分；受国家表彰者，每人次加5分。表彰以证书、奖状等文件为准，校级表彰及校级以下表彰加分上限为6分。</w:t>
      </w:r>
      <w:r>
        <w:rPr>
          <w:rFonts w:hint="eastAsia" w:ascii="仿宋_GB2312" w:eastAsia="仿宋_GB2312"/>
          <w:sz w:val="32"/>
          <w:szCs w:val="32"/>
        </w:rPr>
        <w:t>团体（团体人数2人及以上）获得表彰，则加分减半。</w:t>
      </w:r>
    </w:p>
    <w:p>
      <w:pPr>
        <w:widowControl/>
        <w:spacing w:line="560" w:lineRule="exact"/>
        <w:ind w:firstLine="640" w:firstLineChars="200"/>
        <w:jc w:val="left"/>
        <w:rPr>
          <w:rFonts w:ascii="仿宋_GB2312" w:hAnsi="Verdana" w:eastAsia="仿宋_GB2312" w:cs="宋体"/>
          <w:kern w:val="0"/>
          <w:sz w:val="32"/>
          <w:szCs w:val="32"/>
        </w:rPr>
      </w:pPr>
      <w:r>
        <w:rPr>
          <w:rFonts w:hint="eastAsia" w:ascii="仿宋_GB2312" w:hAnsi="宋体" w:eastAsia="仿宋_GB2312" w:cs="宋体"/>
          <w:kern w:val="0"/>
          <w:sz w:val="32"/>
          <w:szCs w:val="32"/>
        </w:rPr>
        <w:t>该类行为包括：优秀党员、优秀团员、优秀研究生干部、见义勇为、各类志愿者、科技兴农和科技咨询等社会实践活动（博士团、三下乡等），不受表彰者不加分（注：校级研究生评优已获奖学金者，不予加分）</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表彰的单位需为官方政府、专业学会及官方指导的行业协会</w:t>
      </w:r>
      <w:r>
        <w:rPr>
          <w:rFonts w:hint="eastAsia" w:ascii="仿宋_GB2312" w:hAnsi="宋体" w:eastAsia="仿宋_GB2312" w:cs="宋体"/>
          <w:kern w:val="0"/>
          <w:sz w:val="32"/>
          <w:szCs w:val="32"/>
        </w:rPr>
        <w:t>。</w:t>
      </w:r>
    </w:p>
    <w:p>
      <w:pPr>
        <w:widowControl/>
        <w:tabs>
          <w:tab w:val="left" w:pos="567"/>
        </w:tabs>
        <w:spacing w:line="560" w:lineRule="exact"/>
        <w:ind w:firstLine="640" w:firstLineChars="200"/>
        <w:jc w:val="left"/>
        <w:rPr>
          <w:rFonts w:ascii="仿宋_GB2312" w:hAnsi="Verdana" w:eastAsia="仿宋_GB2312" w:cs="宋体"/>
          <w:kern w:val="0"/>
          <w:sz w:val="32"/>
          <w:szCs w:val="32"/>
        </w:rPr>
      </w:pPr>
      <w:r>
        <w:rPr>
          <w:rFonts w:hint="eastAsia" w:ascii="仿宋_GB2312" w:hAnsi="宋体" w:eastAsia="仿宋_GB2312" w:cs="宋体"/>
          <w:kern w:val="0"/>
          <w:sz w:val="32"/>
          <w:szCs w:val="32"/>
        </w:rPr>
        <w:t>3.参加院级或院级以上各项比赛或集体活动获奖的，加分如下。</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个人获奖：</w:t>
      </w:r>
    </w:p>
    <w:tbl>
      <w:tblPr>
        <w:tblStyle w:val="7"/>
        <w:tblW w:w="887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88" w:type="dxa"/>
          <w:bottom w:w="0" w:type="dxa"/>
          <w:right w:w="88" w:type="dxa"/>
        </w:tblCellMar>
      </w:tblPr>
      <w:tblGrid>
        <w:gridCol w:w="1222"/>
        <w:gridCol w:w="1985"/>
        <w:gridCol w:w="1984"/>
        <w:gridCol w:w="1985"/>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122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p>
        </w:tc>
        <w:tc>
          <w:tcPr>
            <w:tcW w:w="1985"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一等</w:t>
            </w:r>
          </w:p>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（第1、2名）</w:t>
            </w:r>
          </w:p>
        </w:tc>
        <w:tc>
          <w:tcPr>
            <w:tcW w:w="198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二等</w:t>
            </w:r>
          </w:p>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（第3-5名）</w:t>
            </w:r>
          </w:p>
        </w:tc>
        <w:tc>
          <w:tcPr>
            <w:tcW w:w="1985"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三等</w:t>
            </w:r>
          </w:p>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（第6-8名）</w:t>
            </w:r>
          </w:p>
        </w:tc>
        <w:tc>
          <w:tcPr>
            <w:tcW w:w="1701"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鼓励奖</w:t>
            </w:r>
          </w:p>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（优秀奖）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122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国家级</w:t>
            </w:r>
          </w:p>
        </w:tc>
        <w:tc>
          <w:tcPr>
            <w:tcW w:w="1985"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15</w:t>
            </w:r>
          </w:p>
        </w:tc>
        <w:tc>
          <w:tcPr>
            <w:tcW w:w="198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10</w:t>
            </w:r>
          </w:p>
        </w:tc>
        <w:tc>
          <w:tcPr>
            <w:tcW w:w="1985"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7</w:t>
            </w:r>
          </w:p>
        </w:tc>
        <w:tc>
          <w:tcPr>
            <w:tcW w:w="1701"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122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省部级</w:t>
            </w:r>
          </w:p>
        </w:tc>
        <w:tc>
          <w:tcPr>
            <w:tcW w:w="1985"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10</w:t>
            </w:r>
          </w:p>
        </w:tc>
        <w:tc>
          <w:tcPr>
            <w:tcW w:w="198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w:t>
            </w:r>
          </w:p>
        </w:tc>
        <w:tc>
          <w:tcPr>
            <w:tcW w:w="1985"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5</w:t>
            </w:r>
          </w:p>
        </w:tc>
        <w:tc>
          <w:tcPr>
            <w:tcW w:w="1701"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122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市级</w:t>
            </w:r>
          </w:p>
        </w:tc>
        <w:tc>
          <w:tcPr>
            <w:tcW w:w="1985"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5</w:t>
            </w:r>
          </w:p>
        </w:tc>
        <w:tc>
          <w:tcPr>
            <w:tcW w:w="198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4</w:t>
            </w:r>
          </w:p>
        </w:tc>
        <w:tc>
          <w:tcPr>
            <w:tcW w:w="1985"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3</w:t>
            </w:r>
          </w:p>
        </w:tc>
        <w:tc>
          <w:tcPr>
            <w:tcW w:w="1701"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122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校级</w:t>
            </w:r>
          </w:p>
        </w:tc>
        <w:tc>
          <w:tcPr>
            <w:tcW w:w="1985"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3</w:t>
            </w:r>
          </w:p>
        </w:tc>
        <w:tc>
          <w:tcPr>
            <w:tcW w:w="198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2．5</w:t>
            </w:r>
          </w:p>
        </w:tc>
        <w:tc>
          <w:tcPr>
            <w:tcW w:w="1985"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2</w:t>
            </w:r>
          </w:p>
        </w:tc>
        <w:tc>
          <w:tcPr>
            <w:tcW w:w="1701"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122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院级</w:t>
            </w:r>
          </w:p>
        </w:tc>
        <w:tc>
          <w:tcPr>
            <w:tcW w:w="1985"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2</w:t>
            </w:r>
          </w:p>
        </w:tc>
        <w:tc>
          <w:tcPr>
            <w:tcW w:w="198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1.5</w:t>
            </w:r>
          </w:p>
        </w:tc>
        <w:tc>
          <w:tcPr>
            <w:tcW w:w="1985"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1</w:t>
            </w:r>
          </w:p>
        </w:tc>
        <w:tc>
          <w:tcPr>
            <w:tcW w:w="1701"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0</w:t>
            </w:r>
          </w:p>
        </w:tc>
      </w:tr>
    </w:tbl>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如参赛团队人数</w:t>
      </w:r>
      <w:r>
        <w:rPr>
          <w:rFonts w:hint="eastAsia" w:ascii="仿宋_GB2312" w:eastAsia="仿宋_GB2312"/>
          <w:sz w:val="32"/>
          <w:szCs w:val="32"/>
        </w:rPr>
        <w:t>2人及以上</w:t>
      </w:r>
      <w:r>
        <w:rPr>
          <w:rFonts w:hint="eastAsia" w:ascii="仿宋_GB2312" w:hAnsi="宋体" w:eastAsia="仿宋_GB2312" w:cs="宋体"/>
          <w:kern w:val="0"/>
          <w:sz w:val="32"/>
          <w:szCs w:val="32"/>
        </w:rPr>
        <w:t>，则按个人获奖加分减半。校级比赛及校级以下比赛加分上限为8分，</w:t>
      </w:r>
      <w:r>
        <w:rPr>
          <w:rFonts w:hint="eastAsia" w:ascii="仿宋_GB2312" w:eastAsia="仿宋_GB2312"/>
          <w:sz w:val="32"/>
          <w:szCs w:val="32"/>
        </w:rPr>
        <w:t>各项比赛或集体活动主办单位如不明确的则按院级比赛给予加分</w:t>
      </w:r>
      <w:r>
        <w:rPr>
          <w:rFonts w:hint="eastAsia" w:ascii="仿宋_GB2312" w:eastAsia="仿宋_GB2312"/>
          <w:sz w:val="32"/>
          <w:szCs w:val="32"/>
          <w:lang w:eastAsia="zh-CN"/>
        </w:rPr>
        <w:t>。</w:t>
      </w:r>
      <w:r>
        <w:rPr>
          <w:rFonts w:hint="eastAsia" w:ascii="仿宋_GB2312" w:eastAsia="仿宋_GB2312"/>
          <w:sz w:val="32"/>
          <w:szCs w:val="32"/>
          <w:lang w:val="en-US" w:eastAsia="zh-CN"/>
        </w:rPr>
        <w:t>网络答题竞赛类活动一律不参与加分</w:t>
      </w:r>
      <w:r>
        <w:rPr>
          <w:rFonts w:hint="eastAsia" w:ascii="仿宋_GB2312" w:hAnsi="宋体" w:eastAsia="仿宋_GB2312" w:cs="宋体"/>
          <w:kern w:val="0"/>
          <w:sz w:val="32"/>
          <w:szCs w:val="32"/>
        </w:rPr>
        <w:t>。</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担任校团委、校研究生会主席团加3分，校团委、校研究生会部门负责人、院团委、院研究生会主席团加2.5分，院团委、院研究生会部门负责人、党支部副书记、团支部书记、班长以及森林经理学社正副社长职务加2分，担任</w:t>
      </w:r>
      <w:r>
        <w:rPr>
          <w:rFonts w:hint="eastAsia" w:ascii="仿宋_GB2312" w:eastAsia="仿宋_GB2312" w:cs="Times New Roman" w:hAnsiTheme="minorEastAsia"/>
          <w:sz w:val="32"/>
          <w:szCs w:val="32"/>
        </w:rPr>
        <w:t>兼职辅导员、研究生助管助教、</w:t>
      </w:r>
      <w:r>
        <w:rPr>
          <w:rFonts w:hint="eastAsia" w:ascii="仿宋_GB2312" w:hAnsi="宋体" w:eastAsia="仿宋_GB2312" w:cs="宋体"/>
          <w:kern w:val="0"/>
          <w:sz w:val="32"/>
          <w:szCs w:val="32"/>
        </w:rPr>
        <w:t>校团委、校研究生会干事、艺术团成员、院团委、院研究生会干事、党支部委员、团支部委员、班委（含副班长）以及森林经理学社正副部长加1分。担任职务时间需满一届（至少5个月以上），且能完成好各项工作任务。</w:t>
      </w:r>
      <w:r>
        <w:rPr>
          <w:rFonts w:hint="eastAsia" w:ascii="仿宋_GB2312" w:eastAsia="仿宋_GB2312" w:cs="Times New Roman" w:hAnsiTheme="minorEastAsia"/>
          <w:sz w:val="32"/>
          <w:szCs w:val="32"/>
        </w:rPr>
        <w:t>可</w:t>
      </w:r>
      <w:r>
        <w:rPr>
          <w:rFonts w:hint="eastAsia" w:ascii="仿宋_GB2312" w:hAnsi="宋体" w:eastAsia="仿宋_GB2312" w:cs="宋体"/>
          <w:kern w:val="0"/>
          <w:sz w:val="32"/>
          <w:szCs w:val="32"/>
        </w:rPr>
        <w:t>累计加分</w:t>
      </w:r>
      <w:bookmarkStart w:id="0" w:name="_Hlk29922054"/>
      <w:r>
        <w:rPr>
          <w:rFonts w:hint="eastAsia" w:ascii="仿宋_GB2312" w:hAnsi="宋体" w:eastAsia="仿宋_GB2312" w:cs="宋体"/>
          <w:kern w:val="0"/>
          <w:sz w:val="32"/>
          <w:szCs w:val="32"/>
        </w:rPr>
        <w:t>，</w:t>
      </w:r>
      <w:r>
        <w:rPr>
          <w:rFonts w:hint="eastAsia" w:ascii="仿宋_GB2312" w:eastAsia="仿宋_GB2312"/>
          <w:sz w:val="32"/>
          <w:szCs w:val="32"/>
        </w:rPr>
        <w:t>第二职务加分减半</w:t>
      </w:r>
      <w:bookmarkEnd w:id="0"/>
      <w:r>
        <w:rPr>
          <w:rFonts w:hint="eastAsia" w:ascii="仿宋_GB2312" w:hAnsi="宋体" w:eastAsia="仿宋_GB2312" w:cs="宋体"/>
          <w:kern w:val="0"/>
          <w:sz w:val="32"/>
          <w:szCs w:val="32"/>
        </w:rPr>
        <w:t>。</w:t>
      </w:r>
    </w:p>
    <w:p>
      <w:pPr>
        <w:widowControl/>
        <w:spacing w:line="560" w:lineRule="exact"/>
        <w:ind w:firstLine="643" w:firstLineChars="200"/>
        <w:jc w:val="left"/>
        <w:rPr>
          <w:rFonts w:ascii="仿宋_GB2312" w:hAnsi="宋体" w:eastAsia="仿宋_GB2312" w:cs="宋体"/>
          <w:b/>
          <w:kern w:val="0"/>
          <w:sz w:val="32"/>
          <w:szCs w:val="32"/>
        </w:rPr>
      </w:pPr>
    </w:p>
    <w:p>
      <w:pPr>
        <w:widowControl/>
        <w:spacing w:line="560" w:lineRule="exact"/>
        <w:ind w:firstLine="643" w:firstLineChars="200"/>
        <w:jc w:val="left"/>
        <w:rPr>
          <w:rFonts w:ascii="仿宋_GB2312" w:hAnsi="宋体" w:eastAsia="仿宋_GB2312" w:cs="宋体"/>
          <w:kern w:val="0"/>
          <w:sz w:val="32"/>
          <w:szCs w:val="32"/>
        </w:rPr>
      </w:pPr>
      <w:r>
        <w:rPr>
          <w:rFonts w:hint="eastAsia" w:ascii="仿宋_GB2312" w:hAnsi="宋体" w:eastAsia="仿宋_GB2312" w:cs="宋体"/>
          <w:b/>
          <w:kern w:val="0"/>
          <w:sz w:val="32"/>
          <w:szCs w:val="32"/>
        </w:rPr>
        <w:t>（二）学习成绩（满分20分），基本分10分</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Times New Roman" w:eastAsia="仿宋_GB2312" w:cs="宋体"/>
          <w:kern w:val="0"/>
          <w:sz w:val="32"/>
          <w:szCs w:val="32"/>
        </w:rPr>
        <w:t>二年级研究生的平均成绩以第一、第二学期培养计划全部修读课程计算；</w:t>
      </w:r>
      <w:r>
        <w:rPr>
          <w:rFonts w:hint="eastAsia" w:ascii="仿宋_GB2312" w:hAnsi="宋体" w:eastAsia="仿宋_GB2312" w:cs="宋体"/>
          <w:kern w:val="0"/>
          <w:sz w:val="32"/>
          <w:szCs w:val="32"/>
        </w:rPr>
        <w:t>三年级研究生的平均成绩按全部已修读课程计算。</w:t>
      </w:r>
      <w:r>
        <w:rPr>
          <w:rFonts w:hint="eastAsia" w:ascii="仿宋_GB2312" w:hAnsi="Times New Roman" w:eastAsia="仿宋_GB2312" w:cs="宋体"/>
          <w:kern w:val="0"/>
          <w:sz w:val="32"/>
          <w:szCs w:val="32"/>
        </w:rPr>
        <w:t>硕士英语以综合成绩计算，博士英语以综合成绩计算。如果有提前选读不放在本学期的课程，可以计算也可以不计算该科成绩。学习成绩按照平均成绩计算，计算方法如下：</w:t>
      </w:r>
    </w:p>
    <w:p>
      <w:pPr>
        <w:widowControl/>
        <w:spacing w:line="560" w:lineRule="exact"/>
        <w:jc w:val="left"/>
        <w:rPr>
          <w:rFonts w:ascii="仿宋_GB2312" w:hAnsi="宋体" w:eastAsia="仿宋_GB2312" w:cs="宋体"/>
          <w:kern w:val="0"/>
          <w:sz w:val="32"/>
          <w:szCs w:val="32"/>
        </w:rPr>
      </w:pPr>
      <w:r>
        <w:rPr>
          <w:rFonts w:hint="eastAsia" w:ascii="仿宋_GB2312" w:hAnsi="Times New Roman" w:eastAsia="仿宋_GB2312" w:cs="Times New Roman"/>
          <w:b/>
          <w:bCs/>
          <w:kern w:val="0"/>
          <w:sz w:val="32"/>
          <w:szCs w:val="32"/>
        </w:rPr>
        <w:t>                ∑</w:t>
      </w:r>
      <w:r>
        <w:rPr>
          <w:rFonts w:hint="eastAsia" w:ascii="仿宋_GB2312" w:hAnsi="宋体" w:eastAsia="仿宋_GB2312" w:cs="宋体"/>
          <w:b/>
          <w:bCs/>
          <w:kern w:val="0"/>
          <w:sz w:val="32"/>
          <w:szCs w:val="32"/>
        </w:rPr>
        <w:t>（各门课程成绩）</w:t>
      </w:r>
    </w:p>
    <w:p>
      <w:pPr>
        <w:widowControl/>
        <w:spacing w:line="560" w:lineRule="exact"/>
        <w:ind w:firstLine="157" w:firstLineChars="49"/>
        <w:jc w:val="left"/>
        <w:rPr>
          <w:rFonts w:ascii="仿宋_GB2312" w:hAnsi="宋体" w:eastAsia="仿宋_GB2312" w:cs="宋体"/>
          <w:kern w:val="0"/>
          <w:sz w:val="32"/>
          <w:szCs w:val="32"/>
        </w:rPr>
      </w:pPr>
      <w:r>
        <w:rPr>
          <w:rFonts w:hint="eastAsia" w:ascii="仿宋_GB2312" w:hAnsi="宋体" w:eastAsia="仿宋_GB2312" w:cs="宋体"/>
          <w:b/>
          <w:bCs/>
          <w:kern w:val="0"/>
          <w:sz w:val="32"/>
          <w:szCs w:val="32"/>
        </w:rPr>
        <w:t>平均成绩</w:t>
      </w:r>
      <w:r>
        <w:rPr>
          <w:rFonts w:hint="eastAsia" w:ascii="仿宋_GB2312" w:hAnsi="Times New Roman" w:eastAsia="仿宋_GB2312" w:cs="Times New Roman"/>
          <w:b/>
          <w:bCs/>
          <w:kern w:val="0"/>
          <w:sz w:val="32"/>
          <w:szCs w:val="32"/>
        </w:rPr>
        <w:t>S= ---------------------------------</w:t>
      </w:r>
    </w:p>
    <w:p>
      <w:pPr>
        <w:widowControl/>
        <w:spacing w:line="560" w:lineRule="exact"/>
        <w:ind w:firstLine="787" w:firstLineChars="245"/>
        <w:jc w:val="left"/>
        <w:rPr>
          <w:rFonts w:ascii="仿宋_GB2312" w:hAnsi="宋体" w:eastAsia="仿宋_GB2312" w:cs="宋体"/>
          <w:kern w:val="0"/>
          <w:sz w:val="32"/>
          <w:szCs w:val="32"/>
        </w:rPr>
      </w:pPr>
      <w:r>
        <w:rPr>
          <w:rFonts w:hint="eastAsia" w:ascii="仿宋_GB2312" w:hAnsi="Times New Roman" w:eastAsia="仿宋_GB2312" w:cs="Times New Roman"/>
          <w:b/>
          <w:bCs/>
          <w:kern w:val="0"/>
          <w:sz w:val="32"/>
          <w:szCs w:val="32"/>
        </w:rPr>
        <w:t>                     </w:t>
      </w:r>
      <w:r>
        <w:rPr>
          <w:rFonts w:hint="eastAsia" w:ascii="仿宋_GB2312" w:hAnsi="宋体" w:eastAsia="仿宋_GB2312" w:cs="宋体"/>
          <w:b/>
          <w:bCs/>
          <w:kern w:val="0"/>
          <w:sz w:val="32"/>
          <w:szCs w:val="32"/>
        </w:rPr>
        <w:t>总课程数</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Times New Roman" w:eastAsia="仿宋_GB2312" w:cs="宋体"/>
          <w:kern w:val="0"/>
          <w:sz w:val="32"/>
          <w:szCs w:val="32"/>
        </w:rPr>
        <w:t>平均成绩达到评优基本要求的，即可获得基本分。</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Times New Roman" w:eastAsia="仿宋_GB2312" w:cs="宋体"/>
          <w:kern w:val="0"/>
          <w:sz w:val="32"/>
          <w:szCs w:val="32"/>
        </w:rPr>
        <w:t>计算出平均成绩，按照四舍五入，根据加分标准进行加分，加分标准见下图：</w:t>
      </w:r>
    </w:p>
    <w:tbl>
      <w:tblPr>
        <w:tblStyle w:val="7"/>
        <w:tblW w:w="835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88" w:type="dxa"/>
          <w:bottom w:w="0" w:type="dxa"/>
          <w:right w:w="88" w:type="dxa"/>
        </w:tblCellMar>
      </w:tblPr>
      <w:tblGrid>
        <w:gridCol w:w="1568"/>
        <w:gridCol w:w="630"/>
        <w:gridCol w:w="567"/>
        <w:gridCol w:w="526"/>
        <w:gridCol w:w="546"/>
        <w:gridCol w:w="510"/>
        <w:gridCol w:w="508"/>
        <w:gridCol w:w="497"/>
        <w:gridCol w:w="510"/>
        <w:gridCol w:w="585"/>
        <w:gridCol w:w="1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rPr>
          <w:jc w:val="center"/>
        </w:trPr>
        <w:tc>
          <w:tcPr>
            <w:tcW w:w="1568"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Times New Roman" w:eastAsia="仿宋_GB2312" w:cs="宋体"/>
                <w:kern w:val="0"/>
                <w:sz w:val="32"/>
                <w:szCs w:val="32"/>
              </w:rPr>
              <w:t>平均成绩</w:t>
            </w:r>
          </w:p>
        </w:tc>
        <w:tc>
          <w:tcPr>
            <w:tcW w:w="630"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Times New Roman" w:eastAsia="仿宋_GB2312" w:cs="Times New Roman"/>
                <w:kern w:val="0"/>
                <w:sz w:val="32"/>
                <w:szCs w:val="32"/>
              </w:rPr>
              <w:t>81</w:t>
            </w:r>
          </w:p>
        </w:tc>
        <w:tc>
          <w:tcPr>
            <w:tcW w:w="567"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Times New Roman" w:eastAsia="仿宋_GB2312" w:cs="Times New Roman"/>
                <w:kern w:val="0"/>
                <w:sz w:val="32"/>
                <w:szCs w:val="32"/>
              </w:rPr>
              <w:t>82</w:t>
            </w:r>
          </w:p>
        </w:tc>
        <w:tc>
          <w:tcPr>
            <w:tcW w:w="526"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Times New Roman" w:eastAsia="仿宋_GB2312" w:cs="Times New Roman"/>
                <w:kern w:val="0"/>
                <w:sz w:val="32"/>
                <w:szCs w:val="32"/>
              </w:rPr>
              <w:t>83</w:t>
            </w:r>
          </w:p>
        </w:tc>
        <w:tc>
          <w:tcPr>
            <w:tcW w:w="546"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Times New Roman" w:eastAsia="仿宋_GB2312" w:cs="Times New Roman"/>
                <w:kern w:val="0"/>
                <w:sz w:val="32"/>
                <w:szCs w:val="32"/>
              </w:rPr>
              <w:t>84</w:t>
            </w:r>
          </w:p>
        </w:tc>
        <w:tc>
          <w:tcPr>
            <w:tcW w:w="510"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Times New Roman" w:eastAsia="仿宋_GB2312" w:cs="Times New Roman"/>
                <w:kern w:val="0"/>
                <w:sz w:val="32"/>
                <w:szCs w:val="32"/>
              </w:rPr>
              <w:t>85</w:t>
            </w:r>
          </w:p>
        </w:tc>
        <w:tc>
          <w:tcPr>
            <w:tcW w:w="508"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Times New Roman" w:eastAsia="仿宋_GB2312" w:cs="Times New Roman"/>
                <w:kern w:val="0"/>
                <w:sz w:val="32"/>
                <w:szCs w:val="32"/>
              </w:rPr>
              <w:t>86</w:t>
            </w:r>
          </w:p>
        </w:tc>
        <w:tc>
          <w:tcPr>
            <w:tcW w:w="497"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Times New Roman" w:eastAsia="仿宋_GB2312" w:cs="Times New Roman"/>
                <w:kern w:val="0"/>
                <w:sz w:val="32"/>
                <w:szCs w:val="32"/>
              </w:rPr>
              <w:t>87</w:t>
            </w:r>
          </w:p>
        </w:tc>
        <w:tc>
          <w:tcPr>
            <w:tcW w:w="510"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Times New Roman" w:eastAsia="仿宋_GB2312" w:cs="Times New Roman"/>
                <w:kern w:val="0"/>
                <w:sz w:val="32"/>
                <w:szCs w:val="32"/>
              </w:rPr>
              <w:t>88</w:t>
            </w:r>
          </w:p>
        </w:tc>
        <w:tc>
          <w:tcPr>
            <w:tcW w:w="585"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Times New Roman" w:eastAsia="仿宋_GB2312" w:cs="Times New Roman"/>
                <w:kern w:val="0"/>
                <w:sz w:val="32"/>
                <w:szCs w:val="32"/>
              </w:rPr>
              <w:t>89</w:t>
            </w:r>
          </w:p>
        </w:tc>
        <w:tc>
          <w:tcPr>
            <w:tcW w:w="1905"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Times New Roman" w:eastAsia="仿宋_GB2312" w:cs="Times New Roman"/>
                <w:kern w:val="0"/>
                <w:sz w:val="32"/>
                <w:szCs w:val="32"/>
              </w:rPr>
              <w:t>90</w:t>
            </w:r>
            <w:r>
              <w:rPr>
                <w:rFonts w:hint="eastAsia" w:ascii="仿宋_GB2312" w:hAnsi="Times New Roman" w:eastAsia="仿宋_GB2312" w:cs="宋体"/>
                <w:kern w:val="0"/>
                <w:sz w:val="32"/>
                <w:szCs w:val="32"/>
              </w:rPr>
              <w:t>及</w:t>
            </w:r>
            <w:r>
              <w:rPr>
                <w:rFonts w:hint="eastAsia" w:ascii="仿宋_GB2312" w:hAnsi="Times New Roman" w:eastAsia="仿宋_GB2312" w:cs="Times New Roman"/>
                <w:kern w:val="0"/>
                <w:sz w:val="32"/>
                <w:szCs w:val="32"/>
              </w:rPr>
              <w:t>90</w:t>
            </w:r>
            <w:r>
              <w:rPr>
                <w:rFonts w:hint="eastAsia" w:ascii="仿宋_GB2312" w:hAnsi="Times New Roman" w:eastAsia="仿宋_GB2312" w:cs="宋体"/>
                <w:kern w:val="0"/>
                <w:sz w:val="32"/>
                <w:szCs w:val="32"/>
              </w:rPr>
              <w:t>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rPr>
          <w:jc w:val="center"/>
        </w:trPr>
        <w:tc>
          <w:tcPr>
            <w:tcW w:w="1568"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Times New Roman" w:eastAsia="仿宋_GB2312" w:cs="宋体"/>
                <w:kern w:val="0"/>
                <w:sz w:val="32"/>
                <w:szCs w:val="32"/>
              </w:rPr>
              <w:t>加分</w:t>
            </w:r>
          </w:p>
        </w:tc>
        <w:tc>
          <w:tcPr>
            <w:tcW w:w="630"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Times New Roman" w:eastAsia="仿宋_GB2312" w:cs="Times New Roman"/>
                <w:kern w:val="0"/>
                <w:sz w:val="32"/>
                <w:szCs w:val="32"/>
              </w:rPr>
              <w:t>1</w:t>
            </w:r>
          </w:p>
        </w:tc>
        <w:tc>
          <w:tcPr>
            <w:tcW w:w="567"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Times New Roman" w:eastAsia="仿宋_GB2312" w:cs="Times New Roman"/>
                <w:kern w:val="0"/>
                <w:sz w:val="32"/>
                <w:szCs w:val="32"/>
              </w:rPr>
              <w:t>2</w:t>
            </w:r>
          </w:p>
        </w:tc>
        <w:tc>
          <w:tcPr>
            <w:tcW w:w="526"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Times New Roman" w:eastAsia="仿宋_GB2312" w:cs="Times New Roman"/>
                <w:kern w:val="0"/>
                <w:sz w:val="32"/>
                <w:szCs w:val="32"/>
              </w:rPr>
              <w:t>3</w:t>
            </w:r>
          </w:p>
        </w:tc>
        <w:tc>
          <w:tcPr>
            <w:tcW w:w="546"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Times New Roman" w:eastAsia="仿宋_GB2312" w:cs="Times New Roman"/>
                <w:kern w:val="0"/>
                <w:sz w:val="32"/>
                <w:szCs w:val="32"/>
              </w:rPr>
              <w:t>4</w:t>
            </w:r>
          </w:p>
        </w:tc>
        <w:tc>
          <w:tcPr>
            <w:tcW w:w="510"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Times New Roman" w:eastAsia="仿宋_GB2312" w:cs="Times New Roman"/>
                <w:kern w:val="0"/>
                <w:sz w:val="32"/>
                <w:szCs w:val="32"/>
              </w:rPr>
              <w:t>5</w:t>
            </w:r>
          </w:p>
        </w:tc>
        <w:tc>
          <w:tcPr>
            <w:tcW w:w="508"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Times New Roman" w:eastAsia="仿宋_GB2312" w:cs="Times New Roman"/>
                <w:kern w:val="0"/>
                <w:sz w:val="32"/>
                <w:szCs w:val="32"/>
              </w:rPr>
              <w:t>6</w:t>
            </w:r>
          </w:p>
        </w:tc>
        <w:tc>
          <w:tcPr>
            <w:tcW w:w="497"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Times New Roman" w:eastAsia="仿宋_GB2312" w:cs="Times New Roman"/>
                <w:kern w:val="0"/>
                <w:sz w:val="32"/>
                <w:szCs w:val="32"/>
              </w:rPr>
              <w:t>7</w:t>
            </w:r>
          </w:p>
        </w:tc>
        <w:tc>
          <w:tcPr>
            <w:tcW w:w="510"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Times New Roman" w:eastAsia="仿宋_GB2312" w:cs="Times New Roman"/>
                <w:kern w:val="0"/>
                <w:sz w:val="32"/>
                <w:szCs w:val="32"/>
              </w:rPr>
              <w:t>8</w:t>
            </w:r>
          </w:p>
        </w:tc>
        <w:tc>
          <w:tcPr>
            <w:tcW w:w="585"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Times New Roman" w:eastAsia="仿宋_GB2312" w:cs="Times New Roman"/>
                <w:kern w:val="0"/>
                <w:sz w:val="32"/>
                <w:szCs w:val="32"/>
              </w:rPr>
              <w:t>9</w:t>
            </w:r>
          </w:p>
        </w:tc>
        <w:tc>
          <w:tcPr>
            <w:tcW w:w="1905"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Times New Roman" w:eastAsia="仿宋_GB2312" w:cs="Times New Roman"/>
                <w:kern w:val="0"/>
                <w:sz w:val="32"/>
                <w:szCs w:val="32"/>
              </w:rPr>
              <w:t>10</w:t>
            </w:r>
          </w:p>
        </w:tc>
      </w:tr>
    </w:tbl>
    <w:p>
      <w:pPr>
        <w:widowControl/>
        <w:spacing w:line="560" w:lineRule="exact"/>
        <w:ind w:firstLine="643" w:firstLineChars="200"/>
        <w:jc w:val="left"/>
        <w:rPr>
          <w:rFonts w:ascii="仿宋_GB2312" w:hAnsi="宋体" w:eastAsia="仿宋_GB2312" w:cs="宋体"/>
          <w:b/>
          <w:kern w:val="0"/>
          <w:sz w:val="32"/>
          <w:szCs w:val="32"/>
        </w:rPr>
      </w:pPr>
    </w:p>
    <w:p>
      <w:pPr>
        <w:widowControl/>
        <w:spacing w:line="560" w:lineRule="exact"/>
        <w:ind w:firstLine="643" w:firstLineChars="200"/>
        <w:jc w:val="left"/>
        <w:rPr>
          <w:rFonts w:ascii="仿宋_GB2312" w:hAnsi="宋体" w:eastAsia="仿宋_GB2312" w:cs="宋体"/>
          <w:kern w:val="0"/>
          <w:sz w:val="32"/>
          <w:szCs w:val="32"/>
        </w:rPr>
      </w:pPr>
      <w:r>
        <w:rPr>
          <w:rFonts w:hint="eastAsia" w:ascii="仿宋_GB2312" w:hAnsi="宋体" w:eastAsia="仿宋_GB2312" w:cs="宋体"/>
          <w:b/>
          <w:kern w:val="0"/>
          <w:sz w:val="32"/>
          <w:szCs w:val="32"/>
        </w:rPr>
        <w:t>（三）学术与科技成果（不设上限）</w:t>
      </w:r>
    </w:p>
    <w:p>
      <w:pPr>
        <w:widowControl/>
        <w:spacing w:line="560" w:lineRule="exact"/>
        <w:ind w:firstLine="640" w:firstLineChars="20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rPr>
        <w:t>计入科技成果的材料（论文、专利、课题等）应为规定时间内的成果材料；所有参评的材料必须是以华南农业大学为第一完成单位，如果代表其他单位完成的科技成果、学术作品请不要作为参评材料；</w:t>
      </w:r>
      <w:r>
        <w:rPr>
          <w:rFonts w:hint="eastAsia" w:ascii="仿宋_GB2312" w:eastAsia="仿宋_GB2312" w:cs="宋体" w:hAnsiTheme="minorEastAsia"/>
          <w:sz w:val="32"/>
          <w:szCs w:val="32"/>
        </w:rPr>
        <w:t>如以共同第一作者发表文章，后续作者排序按出版物印刷顺序排名；如导师</w:t>
      </w:r>
      <w:r>
        <w:rPr>
          <w:rFonts w:hint="eastAsia" w:ascii="仿宋_GB2312" w:eastAsia="仿宋_GB2312" w:cs="宋体" w:hAnsiTheme="minorEastAsia"/>
          <w:sz w:val="32"/>
          <w:szCs w:val="32"/>
          <w:lang w:eastAsia="zh-CN"/>
        </w:rPr>
        <w:t>（</w:t>
      </w:r>
      <w:r>
        <w:rPr>
          <w:rFonts w:hint="eastAsia" w:ascii="仿宋_GB2312" w:eastAsia="仿宋_GB2312" w:cs="宋体" w:hAnsiTheme="minorEastAsia"/>
          <w:sz w:val="32"/>
          <w:szCs w:val="32"/>
          <w:lang w:val="en-US" w:eastAsia="zh-CN"/>
        </w:rPr>
        <w:t>只限第一导师</w:t>
      </w:r>
      <w:r>
        <w:rPr>
          <w:rFonts w:hint="eastAsia" w:ascii="仿宋_GB2312" w:eastAsia="仿宋_GB2312" w:cs="宋体" w:hAnsiTheme="minorEastAsia"/>
          <w:sz w:val="32"/>
          <w:szCs w:val="32"/>
          <w:lang w:eastAsia="zh-CN"/>
        </w:rPr>
        <w:t>）</w:t>
      </w:r>
      <w:r>
        <w:rPr>
          <w:rFonts w:hint="eastAsia" w:ascii="仿宋_GB2312" w:eastAsia="仿宋_GB2312" w:cs="宋体" w:hAnsiTheme="minorEastAsia"/>
          <w:sz w:val="32"/>
          <w:szCs w:val="32"/>
        </w:rPr>
        <w:t>为一作，学生为二作，则可认同为一作，后续作者按</w:t>
      </w:r>
      <w:r>
        <w:rPr>
          <w:rFonts w:hint="eastAsia" w:ascii="仿宋_GB2312" w:hAnsi="宋体" w:eastAsia="仿宋_GB2312" w:cs="宋体"/>
          <w:kern w:val="0"/>
          <w:sz w:val="32"/>
          <w:szCs w:val="32"/>
        </w:rPr>
        <w:t>出版物印刷顺序排名；参评科技成果的论文必须是已公开发表（含网络在线发表）</w:t>
      </w:r>
      <w:r>
        <w:rPr>
          <w:rFonts w:hint="eastAsia" w:ascii="仿宋_GB2312" w:eastAsia="仿宋_GB2312" w:cs="宋体" w:hAnsiTheme="minorEastAsia"/>
          <w:sz w:val="32"/>
          <w:szCs w:val="32"/>
        </w:rPr>
        <w:t>，</w:t>
      </w:r>
      <w:r>
        <w:rPr>
          <w:rFonts w:hint="eastAsia" w:ascii="仿宋_GB2312" w:eastAsia="仿宋_GB2312"/>
          <w:sz w:val="32"/>
          <w:szCs w:val="32"/>
        </w:rPr>
        <w:t>网络、见刊在整个硕士/博士评选年限内仅使用一次</w:t>
      </w:r>
      <w:r>
        <w:rPr>
          <w:rFonts w:hint="eastAsia" w:ascii="仿宋_GB2312" w:eastAsia="仿宋_GB2312"/>
          <w:sz w:val="32"/>
          <w:szCs w:val="32"/>
          <w:highlight w:val="none"/>
        </w:rPr>
        <w:t>；同一成果或作品只计最高分，不得多次累加</w:t>
      </w:r>
      <w:r>
        <w:rPr>
          <w:rFonts w:hint="eastAsia" w:ascii="仿宋_GB2312" w:hAnsi="宋体" w:eastAsia="仿宋_GB2312" w:cs="宋体"/>
          <w:kern w:val="0"/>
          <w:sz w:val="32"/>
          <w:szCs w:val="32"/>
          <w:highlight w:val="none"/>
        </w:rPr>
        <w:t>。</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1.发表论文计分规则</w:t>
      </w:r>
    </w:p>
    <w:p>
      <w:pPr>
        <w:widowControl/>
        <w:spacing w:line="560" w:lineRule="exact"/>
        <w:ind w:firstLine="640" w:firstLineChars="200"/>
        <w:jc w:val="left"/>
        <w:rPr>
          <w:rFonts w:ascii="仿宋_GB2312" w:hAnsi="仿宋_GB2312" w:eastAsia="仿宋_GB2312" w:cs="仿宋_GB2312"/>
          <w:sz w:val="32"/>
          <w:szCs w:val="32"/>
          <w:highlight w:val="none"/>
        </w:rPr>
      </w:pPr>
      <w:r>
        <w:rPr>
          <w:rFonts w:hint="eastAsia" w:ascii="仿宋_GB2312" w:hAnsi="宋体" w:eastAsia="仿宋_GB2312" w:cs="宋体"/>
          <w:kern w:val="0"/>
          <w:sz w:val="32"/>
          <w:szCs w:val="32"/>
          <w:highlight w:val="none"/>
        </w:rPr>
        <w:t>（1）</w:t>
      </w:r>
      <w:r>
        <w:rPr>
          <w:rFonts w:hint="eastAsia" w:ascii="仿宋_GB2312" w:hAnsi="仿宋_GB2312" w:eastAsia="仿宋_GB2312" w:cs="仿宋_GB2312"/>
          <w:sz w:val="32"/>
          <w:szCs w:val="32"/>
          <w:highlight w:val="none"/>
        </w:rPr>
        <w:t>第一作者：20分×分区系数；第二作者：20分×1/3×分区系数；第三作者：20分×1/6×分区系数。</w:t>
      </w:r>
    </w:p>
    <w:p>
      <w:pPr>
        <w:widowControl/>
        <w:spacing w:line="560" w:lineRule="exact"/>
        <w:ind w:firstLine="640" w:firstLineChars="200"/>
        <w:jc w:val="left"/>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（分区系数：T1类×4，T2类×2，A类×1，B类×0.75，C类×0.5）</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加分范围为Article、Review、 Letters、Editorial 四种类型，除此以外的Proceedings Abstract、 News Item、 Correction等不在奖励范围之内。自然科学类的Article论文，必须有完整结构要素（即含题目、研究背景、研究方法、研究结果、讨论与结论、参考文献等部分）。</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以下类型论文折半加分：普通Letters论文（发表在IF≥25的国际顶尖刊物除外）；Correspondence, Communication,Briefs论文；上述结构要素不明晰且研究结果过于简单的论文。</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（2）发表EI（美国《工程索引》，检索类型为JA）、A &amp; HCI（《艺术人文科学引文索引》）正式期刊论文，第一作者加18分，第二作者加4分。</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（3）一般学术刊物（国内外公开发行，有正规期刊号且非北大中文核心期刊）发表学术性论文一篇，第一作者加3分。</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（4）在国内外发表会议论文一篇（需全文收录，印刷成册），第一作者加2分。 </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（5）一般学术刊物以及会议论文的加分上限为20分。</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2.刊物的级别分类</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依据《华南农业大学学术论文评价方案（试行）》，将学术论文由高到低分为T1、T2、A、B、C共5个等级，具体详见评价方案。</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3.科技创新大赛</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参与科技创新大赛者（课题已结题且为课题主持人），校级加3分，省级加4分，国家级加5分。</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4.科研成果、学术竞赛、学术会议及其他</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（1）获得科研成果奖励的，加分如下： </w:t>
      </w:r>
    </w:p>
    <w:tbl>
      <w:tblPr>
        <w:tblStyle w:val="7"/>
        <w:tblW w:w="8222" w:type="dxa"/>
        <w:tblInd w:w="2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88" w:type="dxa"/>
          <w:bottom w:w="0" w:type="dxa"/>
          <w:right w:w="88" w:type="dxa"/>
        </w:tblCellMar>
      </w:tblPr>
      <w:tblGrid>
        <w:gridCol w:w="2552"/>
        <w:gridCol w:w="1134"/>
        <w:gridCol w:w="1134"/>
        <w:gridCol w:w="1134"/>
        <w:gridCol w:w="1134"/>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255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排名1</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排名2</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排名3</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排名4</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排名5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255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国家级1等奖</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60</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60</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60</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60</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255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国家级2等奖</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60</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60</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60</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60</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255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国家级3等奖</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60</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60</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60</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60</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255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省部级1等奖</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60</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60</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60</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60</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255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省部级2等奖</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60</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60</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60</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60</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255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省部级3等奖</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60</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60</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60</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60</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255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市级1等奖</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10</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9</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8</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7</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255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市级2等奖</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9</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8</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7</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255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市级3等奖</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8</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7</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5</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255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校级1等奖</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7</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5</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4</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255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校级2等奖</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5</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4</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3</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255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校级3等奖</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5</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4</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3</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2</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1</w:t>
            </w:r>
          </w:p>
        </w:tc>
      </w:tr>
    </w:tbl>
    <w:p>
      <w:pPr>
        <w:widowControl/>
        <w:spacing w:line="560" w:lineRule="exact"/>
        <w:ind w:firstLine="643" w:firstLineChars="200"/>
        <w:jc w:val="left"/>
        <w:rPr>
          <w:rFonts w:ascii="仿宋_GB2312" w:hAnsi="宋体" w:eastAsia="仿宋_GB2312" w:cs="宋体"/>
          <w:kern w:val="0"/>
          <w:sz w:val="32"/>
          <w:szCs w:val="32"/>
        </w:rPr>
      </w:pPr>
      <w:r>
        <w:rPr>
          <w:rFonts w:hint="eastAsia" w:ascii="仿宋_GB2312" w:hAnsi="宋体" w:eastAsia="仿宋_GB2312" w:cs="宋体"/>
          <w:b/>
          <w:kern w:val="0"/>
          <w:sz w:val="32"/>
          <w:szCs w:val="32"/>
        </w:rPr>
        <w:t>科研成果奖特指自然科学奖、技术发明奖和科技进步奖</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（2）参与学术类竞赛获奖的，加分如下：</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个人获奖：</w:t>
      </w:r>
    </w:p>
    <w:tbl>
      <w:tblPr>
        <w:tblStyle w:val="7"/>
        <w:tblW w:w="8222" w:type="dxa"/>
        <w:tblInd w:w="2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88" w:type="dxa"/>
          <w:bottom w:w="0" w:type="dxa"/>
          <w:right w:w="88" w:type="dxa"/>
        </w:tblCellMar>
      </w:tblPr>
      <w:tblGrid>
        <w:gridCol w:w="2268"/>
        <w:gridCol w:w="1134"/>
        <w:gridCol w:w="1134"/>
        <w:gridCol w:w="1134"/>
        <w:gridCol w:w="25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2268"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一等</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二等</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三等</w:t>
            </w:r>
          </w:p>
        </w:tc>
        <w:tc>
          <w:tcPr>
            <w:tcW w:w="255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鼓励奖（优秀奖）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2268"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国家级及以上</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18</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13</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9</w:t>
            </w:r>
          </w:p>
        </w:tc>
        <w:tc>
          <w:tcPr>
            <w:tcW w:w="255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2268"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省部级</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9</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5</w:t>
            </w:r>
          </w:p>
        </w:tc>
        <w:tc>
          <w:tcPr>
            <w:tcW w:w="255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2268"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市级</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5</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4</w:t>
            </w:r>
          </w:p>
        </w:tc>
        <w:tc>
          <w:tcPr>
            <w:tcW w:w="255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2268"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校级</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5</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4</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3</w:t>
            </w:r>
          </w:p>
        </w:tc>
        <w:tc>
          <w:tcPr>
            <w:tcW w:w="255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2268"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院级</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4</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3</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2</w:t>
            </w:r>
          </w:p>
        </w:tc>
        <w:tc>
          <w:tcPr>
            <w:tcW w:w="255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1</w:t>
            </w:r>
          </w:p>
        </w:tc>
      </w:tr>
    </w:tbl>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团体（</w:t>
      </w:r>
      <w:r>
        <w:rPr>
          <w:rFonts w:hint="eastAsia" w:ascii="仿宋_GB2312" w:eastAsia="仿宋_GB2312"/>
          <w:sz w:val="32"/>
          <w:szCs w:val="32"/>
        </w:rPr>
        <w:t>2人及以上，排序第一或主持人对应表内直接加分，其他成员获奖折半加分</w:t>
      </w:r>
      <w:r>
        <w:rPr>
          <w:rFonts w:hint="eastAsia" w:ascii="仿宋_GB2312" w:hAnsi="宋体" w:eastAsia="仿宋_GB2312" w:cs="宋体"/>
          <w:kern w:val="0"/>
          <w:sz w:val="32"/>
          <w:szCs w:val="32"/>
        </w:rPr>
        <w:t>）获奖：</w:t>
      </w:r>
    </w:p>
    <w:tbl>
      <w:tblPr>
        <w:tblStyle w:val="7"/>
        <w:tblW w:w="8222" w:type="dxa"/>
        <w:tblInd w:w="2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88" w:type="dxa"/>
          <w:bottom w:w="0" w:type="dxa"/>
          <w:right w:w="88" w:type="dxa"/>
        </w:tblCellMar>
      </w:tblPr>
      <w:tblGrid>
        <w:gridCol w:w="2268"/>
        <w:gridCol w:w="1134"/>
        <w:gridCol w:w="1134"/>
        <w:gridCol w:w="1134"/>
        <w:gridCol w:w="25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2268"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一等</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二等</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三等</w:t>
            </w:r>
          </w:p>
        </w:tc>
        <w:tc>
          <w:tcPr>
            <w:tcW w:w="255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鼓励奖（优秀奖）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2268"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国家级及以上</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12</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7</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5</w:t>
            </w:r>
          </w:p>
        </w:tc>
        <w:tc>
          <w:tcPr>
            <w:tcW w:w="255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2268"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省部级</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6</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5</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4</w:t>
            </w:r>
          </w:p>
        </w:tc>
        <w:tc>
          <w:tcPr>
            <w:tcW w:w="255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2268"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市级</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5</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4</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3</w:t>
            </w:r>
          </w:p>
        </w:tc>
        <w:tc>
          <w:tcPr>
            <w:tcW w:w="255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2268"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校级</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4</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3</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2</w:t>
            </w:r>
          </w:p>
        </w:tc>
        <w:tc>
          <w:tcPr>
            <w:tcW w:w="255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2268"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院级</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3</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2</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1</w:t>
            </w:r>
          </w:p>
        </w:tc>
        <w:tc>
          <w:tcPr>
            <w:tcW w:w="255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0.5</w:t>
            </w:r>
          </w:p>
        </w:tc>
      </w:tr>
    </w:tbl>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各学术类竞赛或学术会议的级别如有争议的由评审工作小组确定。</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（3）参与学术会议获奖的（学术会议论文只给予第一作者加分；同一篇学术论文多次获奖，只加最高值），本项目加分上限为8分，具体如下：</w:t>
      </w:r>
    </w:p>
    <w:tbl>
      <w:tblPr>
        <w:tblStyle w:val="7"/>
        <w:tblW w:w="8222" w:type="dxa"/>
        <w:tblInd w:w="2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88" w:type="dxa"/>
          <w:bottom w:w="0" w:type="dxa"/>
          <w:right w:w="88" w:type="dxa"/>
        </w:tblCellMar>
      </w:tblPr>
      <w:tblGrid>
        <w:gridCol w:w="2268"/>
        <w:gridCol w:w="1134"/>
        <w:gridCol w:w="1134"/>
        <w:gridCol w:w="1134"/>
        <w:gridCol w:w="25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2268"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一等</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二等</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三等</w:t>
            </w:r>
          </w:p>
        </w:tc>
        <w:tc>
          <w:tcPr>
            <w:tcW w:w="255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鼓励奖（优秀奖）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2268"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国家级</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4</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3</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2</w:t>
            </w:r>
          </w:p>
        </w:tc>
        <w:tc>
          <w:tcPr>
            <w:tcW w:w="255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2268"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省部级</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3</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2</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1</w:t>
            </w:r>
          </w:p>
        </w:tc>
        <w:tc>
          <w:tcPr>
            <w:tcW w:w="255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2268"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市级</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2</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1.5</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1</w:t>
            </w:r>
          </w:p>
        </w:tc>
        <w:tc>
          <w:tcPr>
            <w:tcW w:w="255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88" w:type="dxa"/>
            <w:bottom w:w="0" w:type="dxa"/>
            <w:right w:w="88" w:type="dxa"/>
          </w:tblCellMar>
        </w:tblPrEx>
        <w:tc>
          <w:tcPr>
            <w:tcW w:w="2268"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校级</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1.5</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1</w:t>
            </w:r>
          </w:p>
        </w:tc>
        <w:tc>
          <w:tcPr>
            <w:tcW w:w="1134"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0.5</w:t>
            </w:r>
          </w:p>
        </w:tc>
        <w:tc>
          <w:tcPr>
            <w:tcW w:w="2552"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0</w:t>
            </w:r>
          </w:p>
        </w:tc>
      </w:tr>
    </w:tbl>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（4）其他</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个人获国家发明专利(以</w:t>
      </w:r>
      <w:r>
        <w:rPr>
          <w:rFonts w:hint="eastAsia" w:ascii="仿宋_GB2312" w:hAnsi="宋体" w:eastAsia="仿宋_GB2312" w:cs="宋体"/>
          <w:b/>
          <w:bCs/>
          <w:kern w:val="0"/>
          <w:sz w:val="32"/>
          <w:szCs w:val="32"/>
        </w:rPr>
        <w:t>授权</w:t>
      </w:r>
      <w:r>
        <w:rPr>
          <w:rFonts w:hint="eastAsia" w:ascii="仿宋_GB2312" w:hAnsi="宋体" w:eastAsia="仿宋_GB2312" w:cs="宋体"/>
          <w:kern w:val="0"/>
          <w:sz w:val="32"/>
          <w:szCs w:val="32"/>
        </w:rPr>
        <w:t>为准)，第一作者加10分，第二作者加5分，其余作者加2分；获外观设计、软件著作、实用新型专利授权，第一作者加5分，其余作者加1分；</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参与制订（前5名）国家标准或参与制订（前3名）行业、地方标准，并获采纳，加5分，其余作者加1分；</w:t>
      </w:r>
    </w:p>
    <w:p>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获新品种以获</w:t>
      </w:r>
      <w:r>
        <w:rPr>
          <w:rFonts w:hint="eastAsia" w:ascii="仿宋_GB2312" w:hAnsi="宋体" w:eastAsia="仿宋_GB2312" w:cs="宋体"/>
          <w:b/>
          <w:bCs/>
          <w:kern w:val="0"/>
          <w:sz w:val="32"/>
          <w:szCs w:val="32"/>
        </w:rPr>
        <w:t>证书</w:t>
      </w:r>
      <w:r>
        <w:rPr>
          <w:rFonts w:hint="eastAsia" w:ascii="仿宋_GB2312" w:hAnsi="宋体" w:eastAsia="仿宋_GB2312" w:cs="宋体"/>
          <w:kern w:val="0"/>
          <w:sz w:val="32"/>
          <w:szCs w:val="32"/>
        </w:rPr>
        <w:t>为准，</w:t>
      </w:r>
      <w:r>
        <w:rPr>
          <w:rFonts w:hint="eastAsia" w:ascii="仿宋_GB2312" w:hAnsi="宋体" w:eastAsia="仿宋_GB2312" w:cs="宋体"/>
          <w:kern w:val="0"/>
          <w:sz w:val="32"/>
          <w:szCs w:val="32"/>
          <w:lang w:val="en-US" w:eastAsia="zh-CN"/>
        </w:rPr>
        <w:t>加分规则具体如下</w:t>
      </w:r>
      <w:r>
        <w:rPr>
          <w:rFonts w:hint="eastAsia" w:ascii="仿宋_GB2312" w:hAnsi="宋体" w:eastAsia="仿宋_GB2312" w:cs="宋体"/>
          <w:kern w:val="0"/>
          <w:sz w:val="32"/>
          <w:szCs w:val="32"/>
        </w:rPr>
        <w:t>；</w:t>
      </w:r>
    </w:p>
    <w:tbl>
      <w:tblPr>
        <w:tblStyle w:val="8"/>
        <w:tblW w:w="0" w:type="auto"/>
        <w:tblInd w:w="2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2509"/>
        <w:gridCol w:w="2755"/>
        <w:gridCol w:w="2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509" w:type="dxa"/>
          </w:tcPr>
          <w:p>
            <w:pPr>
              <w:widowControl/>
              <w:spacing w:line="560" w:lineRule="exact"/>
              <w:jc w:val="center"/>
              <w:rPr>
                <w:rFonts w:hint="eastAsia" w:ascii="仿宋_GB2312" w:hAnsi="宋体" w:eastAsia="仿宋_GB2312" w:cs="宋体"/>
                <w:kern w:val="0"/>
                <w:sz w:val="32"/>
                <w:szCs w:val="32"/>
                <w:vertAlign w:val="baseline"/>
              </w:rPr>
            </w:pPr>
          </w:p>
        </w:tc>
        <w:tc>
          <w:tcPr>
            <w:tcW w:w="2755" w:type="dxa"/>
          </w:tcPr>
          <w:p>
            <w:pPr>
              <w:widowControl/>
              <w:spacing w:line="560" w:lineRule="exact"/>
              <w:jc w:val="center"/>
              <w:rPr>
                <w:rFonts w:hint="default" w:ascii="仿宋_GB2312" w:hAnsi="宋体" w:eastAsia="仿宋_GB2312" w:cs="宋体"/>
                <w:kern w:val="0"/>
                <w:sz w:val="32"/>
                <w:szCs w:val="32"/>
                <w:vertAlign w:val="baseline"/>
                <w:lang w:val="en-US" w:eastAsia="zh-CN"/>
              </w:rPr>
            </w:pPr>
            <w:r>
              <w:rPr>
                <w:rFonts w:hint="eastAsia" w:ascii="仿宋_GB2312" w:hAnsi="宋体" w:eastAsia="仿宋_GB2312" w:cs="宋体"/>
                <w:kern w:val="0"/>
                <w:sz w:val="32"/>
                <w:szCs w:val="32"/>
                <w:vertAlign w:val="baseline"/>
                <w:lang w:val="en-US" w:eastAsia="zh-CN"/>
              </w:rPr>
              <w:t>1-2名</w:t>
            </w:r>
          </w:p>
        </w:tc>
        <w:tc>
          <w:tcPr>
            <w:tcW w:w="2945" w:type="dxa"/>
          </w:tcPr>
          <w:p>
            <w:pPr>
              <w:widowControl/>
              <w:spacing w:line="560" w:lineRule="exact"/>
              <w:jc w:val="center"/>
              <w:rPr>
                <w:rFonts w:hint="default" w:ascii="仿宋_GB2312" w:hAnsi="宋体" w:eastAsia="仿宋_GB2312" w:cs="宋体"/>
                <w:kern w:val="0"/>
                <w:sz w:val="32"/>
                <w:szCs w:val="32"/>
                <w:vertAlign w:val="baseline"/>
                <w:lang w:val="en-US" w:eastAsia="zh-CN"/>
              </w:rPr>
            </w:pPr>
            <w:r>
              <w:rPr>
                <w:rFonts w:hint="eastAsia" w:ascii="仿宋_GB2312" w:hAnsi="宋体" w:eastAsia="仿宋_GB2312" w:cs="宋体"/>
                <w:kern w:val="0"/>
                <w:sz w:val="32"/>
                <w:szCs w:val="32"/>
                <w:vertAlign w:val="baseline"/>
                <w:lang w:val="en-US" w:eastAsia="zh-CN"/>
              </w:rPr>
              <w:t>3-5名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509" w:type="dxa"/>
          </w:tcPr>
          <w:p>
            <w:pPr>
              <w:widowControl/>
              <w:spacing w:line="560" w:lineRule="exact"/>
              <w:jc w:val="center"/>
              <w:rPr>
                <w:rFonts w:hint="default" w:ascii="仿宋_GB2312" w:hAnsi="宋体" w:eastAsia="仿宋_GB2312" w:cs="宋体"/>
                <w:kern w:val="0"/>
                <w:sz w:val="32"/>
                <w:szCs w:val="32"/>
                <w:vertAlign w:val="baseline"/>
                <w:lang w:val="en-US" w:eastAsia="zh-CN"/>
              </w:rPr>
            </w:pPr>
            <w:r>
              <w:rPr>
                <w:rFonts w:hint="eastAsia" w:ascii="仿宋_GB2312" w:hAnsi="宋体" w:eastAsia="仿宋_GB2312" w:cs="宋体"/>
                <w:kern w:val="0"/>
                <w:sz w:val="32"/>
                <w:szCs w:val="32"/>
                <w:vertAlign w:val="baseline"/>
                <w:lang w:val="en-US" w:eastAsia="zh-CN"/>
              </w:rPr>
              <w:t>国家级</w:t>
            </w:r>
          </w:p>
        </w:tc>
        <w:tc>
          <w:tcPr>
            <w:tcW w:w="2755" w:type="dxa"/>
          </w:tcPr>
          <w:p>
            <w:pPr>
              <w:widowControl/>
              <w:spacing w:line="560" w:lineRule="exact"/>
              <w:jc w:val="center"/>
              <w:rPr>
                <w:rFonts w:hint="eastAsia" w:ascii="仿宋_GB2312" w:hAnsi="宋体" w:eastAsia="仿宋_GB2312" w:cs="宋体"/>
                <w:kern w:val="0"/>
                <w:sz w:val="32"/>
                <w:szCs w:val="32"/>
                <w:vertAlign w:val="baseline"/>
                <w:lang w:val="en-US" w:eastAsia="zh-CN"/>
              </w:rPr>
            </w:pPr>
            <w:r>
              <w:rPr>
                <w:rFonts w:hint="eastAsia" w:ascii="仿宋_GB2312" w:hAnsi="宋体" w:eastAsia="仿宋_GB2312" w:cs="宋体"/>
                <w:kern w:val="0"/>
                <w:sz w:val="32"/>
                <w:szCs w:val="32"/>
                <w:vertAlign w:val="baseline"/>
                <w:lang w:val="en-US" w:eastAsia="zh-CN"/>
              </w:rPr>
              <w:t>8</w:t>
            </w:r>
          </w:p>
        </w:tc>
        <w:tc>
          <w:tcPr>
            <w:tcW w:w="2945" w:type="dxa"/>
          </w:tcPr>
          <w:p>
            <w:pPr>
              <w:widowControl/>
              <w:spacing w:line="560" w:lineRule="exact"/>
              <w:jc w:val="center"/>
              <w:rPr>
                <w:rFonts w:hint="eastAsia" w:ascii="仿宋_GB2312" w:hAnsi="宋体" w:eastAsia="仿宋_GB2312" w:cs="宋体"/>
                <w:kern w:val="0"/>
                <w:sz w:val="32"/>
                <w:szCs w:val="32"/>
                <w:vertAlign w:val="baseline"/>
                <w:lang w:val="en-US" w:eastAsia="zh-CN"/>
              </w:rPr>
            </w:pPr>
            <w:r>
              <w:rPr>
                <w:rFonts w:hint="eastAsia" w:ascii="仿宋_GB2312" w:hAnsi="宋体" w:eastAsia="仿宋_GB2312" w:cs="宋体"/>
                <w:kern w:val="0"/>
                <w:sz w:val="32"/>
                <w:szCs w:val="32"/>
                <w:vertAlign w:val="baseli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509" w:type="dxa"/>
          </w:tcPr>
          <w:p>
            <w:pPr>
              <w:widowControl/>
              <w:spacing w:line="560" w:lineRule="exact"/>
              <w:jc w:val="center"/>
              <w:rPr>
                <w:rFonts w:hint="default" w:ascii="仿宋_GB2312" w:hAnsi="宋体" w:eastAsia="仿宋_GB2312" w:cs="宋体"/>
                <w:kern w:val="0"/>
                <w:sz w:val="32"/>
                <w:szCs w:val="32"/>
                <w:vertAlign w:val="baseline"/>
                <w:lang w:val="en-US" w:eastAsia="zh-CN"/>
              </w:rPr>
            </w:pPr>
            <w:r>
              <w:rPr>
                <w:rFonts w:hint="eastAsia" w:ascii="仿宋_GB2312" w:hAnsi="宋体" w:eastAsia="仿宋_GB2312" w:cs="宋体"/>
                <w:kern w:val="0"/>
                <w:sz w:val="32"/>
                <w:szCs w:val="32"/>
                <w:vertAlign w:val="baseline"/>
                <w:lang w:val="en-US" w:eastAsia="zh-CN"/>
              </w:rPr>
              <w:t>省级</w:t>
            </w:r>
          </w:p>
        </w:tc>
        <w:tc>
          <w:tcPr>
            <w:tcW w:w="2755" w:type="dxa"/>
          </w:tcPr>
          <w:p>
            <w:pPr>
              <w:widowControl/>
              <w:spacing w:line="560" w:lineRule="exact"/>
              <w:jc w:val="center"/>
              <w:rPr>
                <w:rFonts w:hint="eastAsia" w:ascii="仿宋_GB2312" w:hAnsi="宋体" w:eastAsia="仿宋_GB2312" w:cs="宋体"/>
                <w:kern w:val="0"/>
                <w:sz w:val="32"/>
                <w:szCs w:val="32"/>
                <w:vertAlign w:val="baseline"/>
                <w:lang w:val="en-US" w:eastAsia="zh-CN"/>
              </w:rPr>
            </w:pPr>
            <w:r>
              <w:rPr>
                <w:rFonts w:hint="eastAsia" w:ascii="仿宋_GB2312" w:hAnsi="宋体" w:eastAsia="仿宋_GB2312" w:cs="宋体"/>
                <w:kern w:val="0"/>
                <w:sz w:val="32"/>
                <w:szCs w:val="32"/>
                <w:vertAlign w:val="baseline"/>
                <w:lang w:val="en-US" w:eastAsia="zh-CN"/>
              </w:rPr>
              <w:t>4</w:t>
            </w:r>
          </w:p>
        </w:tc>
        <w:tc>
          <w:tcPr>
            <w:tcW w:w="2945" w:type="dxa"/>
          </w:tcPr>
          <w:p>
            <w:pPr>
              <w:widowControl/>
              <w:spacing w:line="560" w:lineRule="exact"/>
              <w:jc w:val="center"/>
              <w:rPr>
                <w:rFonts w:hint="eastAsia" w:ascii="仿宋_GB2312" w:hAnsi="宋体" w:eastAsia="仿宋_GB2312" w:cs="宋体"/>
                <w:kern w:val="0"/>
                <w:sz w:val="32"/>
                <w:szCs w:val="32"/>
                <w:vertAlign w:val="baseline"/>
                <w:lang w:val="en-US" w:eastAsia="zh-CN"/>
              </w:rPr>
            </w:pPr>
            <w:r>
              <w:rPr>
                <w:rFonts w:hint="eastAsia" w:ascii="仿宋_GB2312" w:hAnsi="宋体" w:eastAsia="仿宋_GB2312" w:cs="宋体"/>
                <w:kern w:val="0"/>
                <w:sz w:val="32"/>
                <w:szCs w:val="32"/>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509" w:type="dxa"/>
          </w:tcPr>
          <w:p>
            <w:pPr>
              <w:widowControl/>
              <w:spacing w:line="560" w:lineRule="exact"/>
              <w:jc w:val="center"/>
              <w:rPr>
                <w:rFonts w:hint="default" w:ascii="仿宋_GB2312" w:hAnsi="宋体" w:eastAsia="仿宋_GB2312" w:cs="宋体"/>
                <w:kern w:val="0"/>
                <w:sz w:val="32"/>
                <w:szCs w:val="32"/>
                <w:vertAlign w:val="baseline"/>
                <w:lang w:val="en-US" w:eastAsia="zh-CN"/>
              </w:rPr>
            </w:pPr>
            <w:r>
              <w:rPr>
                <w:rFonts w:hint="eastAsia" w:ascii="仿宋_GB2312" w:hAnsi="宋体" w:eastAsia="仿宋_GB2312" w:cs="宋体"/>
                <w:kern w:val="0"/>
                <w:sz w:val="32"/>
                <w:szCs w:val="32"/>
                <w:vertAlign w:val="baseline"/>
                <w:lang w:val="en-US" w:eastAsia="zh-CN"/>
              </w:rPr>
              <w:t>国际登录</w:t>
            </w:r>
          </w:p>
        </w:tc>
        <w:tc>
          <w:tcPr>
            <w:tcW w:w="2755" w:type="dxa"/>
          </w:tcPr>
          <w:p>
            <w:pPr>
              <w:widowControl/>
              <w:spacing w:line="560" w:lineRule="exact"/>
              <w:jc w:val="center"/>
              <w:rPr>
                <w:rFonts w:hint="eastAsia" w:ascii="仿宋_GB2312" w:hAnsi="宋体" w:eastAsia="仿宋_GB2312" w:cs="宋体"/>
                <w:kern w:val="0"/>
                <w:sz w:val="32"/>
                <w:szCs w:val="32"/>
                <w:vertAlign w:val="baseline"/>
                <w:lang w:val="en-US" w:eastAsia="zh-CN"/>
              </w:rPr>
            </w:pPr>
            <w:r>
              <w:rPr>
                <w:rFonts w:hint="eastAsia" w:ascii="仿宋_GB2312" w:hAnsi="宋体" w:eastAsia="仿宋_GB2312" w:cs="宋体"/>
                <w:kern w:val="0"/>
                <w:sz w:val="32"/>
                <w:szCs w:val="32"/>
                <w:vertAlign w:val="baseline"/>
                <w:lang w:val="en-US" w:eastAsia="zh-CN"/>
              </w:rPr>
              <w:t>2</w:t>
            </w:r>
          </w:p>
        </w:tc>
        <w:tc>
          <w:tcPr>
            <w:tcW w:w="2945" w:type="dxa"/>
          </w:tcPr>
          <w:p>
            <w:pPr>
              <w:widowControl/>
              <w:spacing w:line="560" w:lineRule="exact"/>
              <w:jc w:val="center"/>
              <w:rPr>
                <w:rFonts w:hint="eastAsia" w:ascii="仿宋_GB2312" w:hAnsi="宋体" w:eastAsia="仿宋_GB2312" w:cs="宋体"/>
                <w:kern w:val="0"/>
                <w:sz w:val="32"/>
                <w:szCs w:val="32"/>
                <w:vertAlign w:val="baseline"/>
                <w:lang w:val="en-US" w:eastAsia="zh-CN"/>
              </w:rPr>
            </w:pPr>
            <w:r>
              <w:rPr>
                <w:rFonts w:hint="eastAsia" w:ascii="仿宋_GB2312" w:hAnsi="宋体" w:eastAsia="仿宋_GB2312" w:cs="宋体"/>
                <w:kern w:val="0"/>
                <w:sz w:val="32"/>
                <w:szCs w:val="32"/>
                <w:vertAlign w:val="baseline"/>
                <w:lang w:val="en-US" w:eastAsia="zh-CN"/>
              </w:rPr>
              <w:t>1</w:t>
            </w:r>
          </w:p>
        </w:tc>
      </w:tr>
    </w:tbl>
    <w:p>
      <w:pPr>
        <w:widowControl/>
        <w:spacing w:line="560" w:lineRule="exact"/>
        <w:ind w:firstLine="640" w:firstLineChars="200"/>
        <w:jc w:val="left"/>
        <w:rPr>
          <w:rFonts w:ascii="仿宋_GB2312" w:hAnsi="Verdana" w:eastAsia="仿宋_GB2312" w:cs="宋体"/>
          <w:kern w:val="0"/>
          <w:sz w:val="32"/>
          <w:szCs w:val="32"/>
        </w:rPr>
      </w:pPr>
      <w:r>
        <w:rPr>
          <w:rFonts w:hint="eastAsia" w:ascii="仿宋_GB2312" w:hAnsi="宋体" w:eastAsia="仿宋_GB2312" w:cs="宋体"/>
          <w:kern w:val="0"/>
          <w:sz w:val="32"/>
          <w:szCs w:val="32"/>
        </w:rPr>
        <w:t>著作主编加20分，副主编10分，编</w:t>
      </w:r>
      <w:r>
        <w:rPr>
          <w:rFonts w:hint="eastAsia" w:ascii="仿宋_GB2312" w:hAnsi="宋体" w:eastAsia="仿宋_GB2312" w:cs="宋体"/>
          <w:kern w:val="0"/>
          <w:sz w:val="32"/>
          <w:szCs w:val="32"/>
          <w:lang w:val="en-US" w:eastAsia="zh-CN"/>
        </w:rPr>
        <w:t>委</w:t>
      </w:r>
      <w:r>
        <w:rPr>
          <w:rFonts w:hint="eastAsia" w:ascii="仿宋_GB2312" w:hAnsi="宋体" w:eastAsia="仿宋_GB2312" w:cs="宋体"/>
          <w:kern w:val="0"/>
          <w:sz w:val="32"/>
          <w:szCs w:val="32"/>
        </w:rPr>
        <w:t>加3分。著作：是指取得ISBN统一书号、公开出版发行的本专业学术专著、编著、高校教材、译著、工具书、科普著作，每部字数必须达到10万字以上。</w:t>
      </w:r>
    </w:p>
    <w:p>
      <w:pPr>
        <w:widowControl/>
        <w:spacing w:line="560" w:lineRule="exact"/>
        <w:ind w:firstLine="640" w:firstLineChars="200"/>
        <w:jc w:val="left"/>
        <w:rPr>
          <w:rFonts w:ascii="仿宋_GB2312" w:hAnsi="Verdana" w:eastAsia="仿宋_GB2312" w:cs="宋体"/>
          <w:kern w:val="0"/>
          <w:sz w:val="32"/>
          <w:szCs w:val="32"/>
        </w:rPr>
      </w:pPr>
      <w:r>
        <w:rPr>
          <w:rFonts w:hint="eastAsia" w:ascii="仿宋_GB2312" w:hAnsi="宋体" w:eastAsia="仿宋_GB2312" w:cs="宋体"/>
          <w:kern w:val="0"/>
          <w:sz w:val="32"/>
          <w:szCs w:val="32"/>
        </w:rPr>
        <w:t>（5）参加学术报告、报告会</w:t>
      </w:r>
    </w:p>
    <w:p>
      <w:pPr>
        <w:widowControl/>
        <w:tabs>
          <w:tab w:val="left" w:pos="351"/>
        </w:tabs>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每位研究生本年度参加学校、学院组织的讲座、报告，每一场加1分，加分上限为6分（此类活动以学院研究生会学术部统计公示为准）。</w:t>
      </w:r>
    </w:p>
    <w:p>
      <w:pPr>
        <w:widowControl/>
        <w:spacing w:line="560" w:lineRule="exact"/>
        <w:ind w:firstLine="640" w:firstLineChars="200"/>
        <w:jc w:val="left"/>
        <w:rPr>
          <w:rFonts w:ascii="仿宋_GB2312" w:hAnsi="宋体" w:eastAsia="仿宋_GB2312" w:cs="宋体"/>
          <w:kern w:val="0"/>
          <w:sz w:val="32"/>
          <w:szCs w:val="32"/>
          <w:highlight w:val="none"/>
        </w:rPr>
      </w:pPr>
      <w:r>
        <w:rPr>
          <w:rFonts w:hint="eastAsia" w:ascii="黑体" w:hAnsi="黑体" w:eastAsia="黑体" w:cs="宋体"/>
          <w:bCs/>
          <w:kern w:val="0"/>
          <w:sz w:val="32"/>
          <w:szCs w:val="32"/>
          <w:highlight w:val="none"/>
        </w:rPr>
        <w:t>第六条</w:t>
      </w:r>
      <w:r>
        <w:rPr>
          <w:rFonts w:hint="eastAsia" w:ascii="仿宋_GB2312" w:eastAsia="仿宋_GB2312"/>
          <w:b/>
          <w:bCs/>
          <w:sz w:val="32"/>
          <w:szCs w:val="32"/>
          <w:highlight w:val="none"/>
        </w:rPr>
        <w:t xml:space="preserve"> </w:t>
      </w:r>
      <w:r>
        <w:rPr>
          <w:rFonts w:hint="eastAsia" w:ascii="仿宋_GB2312" w:hAnsi="宋体" w:eastAsia="仿宋_GB2312" w:cs="宋体"/>
          <w:bCs/>
          <w:kern w:val="0"/>
          <w:sz w:val="32"/>
          <w:szCs w:val="32"/>
          <w:highlight w:val="none"/>
        </w:rPr>
        <w:t>竞赛级别的界定：以竞赛的层次以及主办机构为主要界定标准。常见竞赛如“挑战杯”“互联网+”界定为国家级，园冶杯界定为省部级。在本条例中，关于官方组织的学会及行业协会的奖项，若为国家级学会/协会则认定为省级，以此类推；单一由企业主办的奖项不予认定。具体参见附则一。</w:t>
      </w:r>
    </w:p>
    <w:p>
      <w:pPr>
        <w:widowControl/>
        <w:spacing w:line="560" w:lineRule="exact"/>
        <w:ind w:firstLine="640" w:firstLineChars="200"/>
        <w:jc w:val="left"/>
        <w:rPr>
          <w:rFonts w:ascii="仿宋_GB2312" w:hAnsi="宋体" w:eastAsia="仿宋_GB2312" w:cs="宋体"/>
          <w:kern w:val="0"/>
          <w:sz w:val="32"/>
          <w:szCs w:val="32"/>
        </w:rPr>
      </w:pPr>
      <w:r>
        <w:rPr>
          <w:rFonts w:hint="eastAsia" w:ascii="黑体" w:hAnsi="黑体" w:eastAsia="黑体" w:cs="宋体"/>
          <w:bCs/>
          <w:kern w:val="0"/>
          <w:sz w:val="32"/>
          <w:szCs w:val="32"/>
        </w:rPr>
        <w:t>第七条</w:t>
      </w:r>
      <w:r>
        <w:rPr>
          <w:rFonts w:hint="eastAsia" w:ascii="仿宋_GB2312" w:hAnsi="黑体" w:eastAsia="仿宋_GB2312" w:cs="宋体"/>
          <w:kern w:val="0"/>
          <w:sz w:val="32"/>
          <w:szCs w:val="32"/>
        </w:rPr>
        <w:t xml:space="preserve"> </w:t>
      </w:r>
      <w:r>
        <w:rPr>
          <w:rFonts w:hint="eastAsia" w:ascii="仿宋_GB2312" w:hAnsi="宋体" w:eastAsia="仿宋_GB2312" w:cs="宋体"/>
          <w:bCs/>
          <w:kern w:val="0"/>
          <w:sz w:val="32"/>
          <w:szCs w:val="32"/>
        </w:rPr>
        <w:t>未尽事宜，由学院研究生奖助学金评审工作小组确定。</w:t>
      </w:r>
    </w:p>
    <w:p>
      <w:pPr>
        <w:widowControl/>
        <w:spacing w:line="560" w:lineRule="exact"/>
        <w:ind w:firstLine="640" w:firstLineChars="200"/>
        <w:jc w:val="left"/>
        <w:rPr>
          <w:rFonts w:ascii="仿宋_GB2312" w:hAnsi="Verdana" w:eastAsia="仿宋_GB2312" w:cs="宋体"/>
          <w:kern w:val="0"/>
          <w:sz w:val="32"/>
          <w:szCs w:val="32"/>
        </w:rPr>
      </w:pPr>
      <w:r>
        <w:rPr>
          <w:rFonts w:hint="eastAsia" w:ascii="黑体" w:hAnsi="黑体" w:eastAsia="黑体" w:cs="宋体"/>
          <w:bCs/>
          <w:kern w:val="0"/>
          <w:sz w:val="32"/>
          <w:szCs w:val="32"/>
        </w:rPr>
        <w:t>第八条</w:t>
      </w:r>
      <w:r>
        <w:rPr>
          <w:rFonts w:hint="eastAsia" w:ascii="仿宋_GB2312" w:hAnsi="黑体" w:eastAsia="仿宋_GB2312" w:cs="宋体"/>
          <w:kern w:val="0"/>
          <w:sz w:val="32"/>
          <w:szCs w:val="32"/>
        </w:rPr>
        <w:t xml:space="preserve"> 本细则的最终解释权归华南农业大学林学与风景园林学院党委</w:t>
      </w:r>
      <w:r>
        <w:rPr>
          <w:rFonts w:hint="eastAsia" w:ascii="仿宋_GB2312" w:hAnsi="Verdana" w:eastAsia="仿宋_GB2312" w:cs="宋体"/>
          <w:kern w:val="0"/>
          <w:sz w:val="32"/>
          <w:szCs w:val="32"/>
        </w:rPr>
        <w:t xml:space="preserve">。                           </w:t>
      </w:r>
    </w:p>
    <w:p>
      <w:pPr>
        <w:widowControl/>
        <w:spacing w:line="560" w:lineRule="exact"/>
        <w:jc w:val="center"/>
        <w:rPr>
          <w:rFonts w:ascii="仿宋_GB2312" w:hAnsi="宋体" w:eastAsia="仿宋_GB2312" w:cs="宋体"/>
          <w:kern w:val="0"/>
          <w:sz w:val="32"/>
          <w:szCs w:val="32"/>
        </w:rPr>
      </w:pPr>
    </w:p>
    <w:p>
      <w:pPr>
        <w:widowControl/>
        <w:spacing w:line="560" w:lineRule="exact"/>
        <w:jc w:val="center"/>
        <w:rPr>
          <w:rFonts w:ascii="仿宋_GB2312" w:hAnsi="宋体" w:eastAsia="仿宋_GB2312" w:cs="宋体"/>
          <w:kern w:val="0"/>
          <w:sz w:val="32"/>
          <w:szCs w:val="32"/>
        </w:rPr>
      </w:pPr>
    </w:p>
    <w:p>
      <w:pPr>
        <w:widowControl/>
        <w:spacing w:line="560" w:lineRule="exact"/>
        <w:jc w:val="righ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中共华南农业大学林学与风景园林学院委员会</w:t>
      </w:r>
    </w:p>
    <w:p>
      <w:pPr>
        <w:widowControl/>
        <w:spacing w:line="560" w:lineRule="exact"/>
        <w:ind w:firstLine="163"/>
        <w:jc w:val="right"/>
        <w:rPr>
          <w:rFonts w:ascii="仿宋_GB2312" w:hAnsi="宋体" w:eastAsia="仿宋_GB2312" w:cs="宋体"/>
          <w:kern w:val="0"/>
          <w:sz w:val="32"/>
          <w:szCs w:val="32"/>
        </w:rPr>
        <w:sectPr>
          <w:pgSz w:w="11906" w:h="16838"/>
          <w:pgMar w:top="1440" w:right="1800" w:bottom="1440" w:left="1800" w:header="851" w:footer="992" w:gutter="0"/>
          <w:cols w:space="425" w:num="1"/>
          <w:docGrid w:type="lines" w:linePitch="312" w:charSpace="0"/>
        </w:sectPr>
      </w:pPr>
      <w:r>
        <w:rPr>
          <w:rFonts w:hint="eastAsia" w:ascii="仿宋_GB2312" w:hAnsi="宋体" w:eastAsia="仿宋_GB2312" w:cs="宋体"/>
          <w:kern w:val="0"/>
          <w:sz w:val="32"/>
          <w:szCs w:val="32"/>
        </w:rPr>
        <w:t xml:space="preserve">             二0二</w:t>
      </w:r>
      <w:r>
        <w:rPr>
          <w:rFonts w:hint="eastAsia" w:ascii="仿宋_GB2312" w:hAnsi="宋体" w:eastAsia="仿宋_GB2312" w:cs="宋体"/>
          <w:kern w:val="0"/>
          <w:sz w:val="32"/>
          <w:szCs w:val="32"/>
          <w:lang w:val="en-US" w:eastAsia="zh-CN"/>
        </w:rPr>
        <w:t>二</w:t>
      </w:r>
      <w:bookmarkStart w:id="1" w:name="_GoBack"/>
      <w:bookmarkEnd w:id="1"/>
      <w:r>
        <w:rPr>
          <w:rFonts w:hint="eastAsia" w:ascii="仿宋_GB2312" w:hAnsi="宋体" w:eastAsia="仿宋_GB2312" w:cs="宋体"/>
          <w:kern w:val="0"/>
          <w:sz w:val="32"/>
          <w:szCs w:val="32"/>
        </w:rPr>
        <w:t>年十二月</w:t>
      </w:r>
    </w:p>
    <w:p>
      <w:pPr>
        <w:widowControl/>
        <w:spacing w:line="560" w:lineRule="exact"/>
        <w:jc w:val="left"/>
        <w:rPr>
          <w:rFonts w:ascii="黑体" w:hAnsi="黑体" w:eastAsia="黑体" w:cs="宋体"/>
          <w:bCs/>
          <w:kern w:val="0"/>
          <w:sz w:val="32"/>
          <w:szCs w:val="32"/>
        </w:rPr>
      </w:pPr>
      <w:r>
        <w:rPr>
          <w:rFonts w:hint="eastAsia" w:ascii="黑体" w:hAnsi="黑体" w:eastAsia="黑体" w:cs="宋体"/>
          <w:bCs/>
          <w:kern w:val="0"/>
          <w:sz w:val="32"/>
          <w:szCs w:val="32"/>
        </w:rPr>
        <w:t>附则一</w:t>
      </w:r>
    </w:p>
    <w:p>
      <w:pPr>
        <w:spacing w:line="360" w:lineRule="auto"/>
        <w:jc w:val="center"/>
        <w:rPr>
          <w:rFonts w:ascii="方正小标宋简体" w:hAnsi="方正小标宋简体" w:eastAsia="方正小标宋简体" w:cs="方正小标宋简体"/>
          <w:sz w:val="36"/>
          <w:szCs w:val="36"/>
        </w:rPr>
      </w:pPr>
    </w:p>
    <w:p>
      <w:pPr>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林学与风景园林学院研究生学科竞赛级别界定办法</w:t>
      </w:r>
    </w:p>
    <w:p>
      <w:pPr>
        <w:spacing w:line="360" w:lineRule="auto"/>
        <w:rPr>
          <w:rFonts w:ascii="宋体" w:hAnsi="宋体"/>
          <w:sz w:val="24"/>
          <w:szCs w:val="24"/>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结合赛事实际情况以及专业老师意见，以竞赛的层次以及主办机构为主要界定标准，特制订以下办法。在本办法中，关于官方组织的学会及行业协会的奖项，予以认定，单一由企业主办的奖项不予认定。</w:t>
      </w:r>
    </w:p>
    <w:p>
      <w:pPr>
        <w:widowControl/>
        <w:spacing w:line="56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一、国际性竞赛</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指在国际上有影响的常设性大学生科技竞赛。其中，参赛国家分属在三大洲以上的竞赛为国际全球性竞赛；参赛国家在5个以上的竞赛为国际区域性竞赛。</w:t>
      </w:r>
    </w:p>
    <w:p>
      <w:pPr>
        <w:widowControl/>
        <w:spacing w:line="56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二、国家级竞赛</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指在国家层面具有影响的，一般由教育部等国家行政部门(如体育总局、团中央等)主办的常设性各类学科竞赛，如“挑战杯”大学生课外学术科技作品竞赛、“挑战杯”大学生创业计划竞赛、全国大学生数学建模竞赛、全国大学生电子设计竞赛、全国大学生机械创新设计大赛、全国大学生英语竞赛(一等奖)等；教育部当年公布的新增学科竞赛。</w:t>
      </w:r>
    </w:p>
    <w:p>
      <w:pPr>
        <w:widowControl/>
        <w:spacing w:line="56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三、省级竞赛</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（一）指在省级层面具有影响的，一般由省教育厅等省级行政管理部门（如教育厅、体育局、团省委等）主办的各类学科竞赛。全国区域性竞赛参照省级竞赛规定执行；</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（二）教育部有关教学指导委员会（如教育部高等学校风景园林学科教学指导委员会等）等主办的常设性大学生学科竞赛；</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（三）国家行业学会、协会（含分委会）等主办的有显著社会影响的各类学科竞赛。</w:t>
      </w:r>
    </w:p>
    <w:p>
      <w:pPr>
        <w:widowControl/>
        <w:spacing w:line="56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四、市级竞赛</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（一）指在市级层面具有影响的，一般由市教育局等市级行政管理部门（如教育局、体育局、团市委等）主办的各类学科竞赛。全省区域性竞赛参照市级竞赛规定执行；</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（二）省级行业学会、协会（含分委会）等主办的有显著社会影响的各类学科竞赛。</w:t>
      </w:r>
    </w:p>
    <w:p>
      <w:pPr>
        <w:widowControl/>
        <w:spacing w:line="56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五、校级竞赛</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指在学校层面具有影响的，一般由大学主办的各类学科竞赛。</w:t>
      </w:r>
    </w:p>
    <w:p>
      <w:pPr>
        <w:widowControl/>
        <w:spacing w:line="56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六、院级竞赛</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指在学院层面具有影响的，一般由学院主办的各类学科竞赛。</w:t>
      </w: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如遇难以界定竞赛等级的情况，则提交由本学科三名及以上专家组成的评议组进行审核认定。</w:t>
      </w:r>
    </w:p>
    <w:p>
      <w:pPr>
        <w:spacing w:line="560" w:lineRule="exact"/>
        <w:ind w:firstLine="640" w:firstLineChars="200"/>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部分常见竞赛级别界定见下表1：</w:t>
      </w:r>
    </w:p>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表1 部分常见竞赛级别界定</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6"/>
        <w:gridCol w:w="3315"/>
        <w:gridCol w:w="3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216" w:type="dxa"/>
            <w:noWrap/>
            <w:vAlign w:val="center"/>
          </w:tcPr>
          <w:p>
            <w:pPr>
              <w:spacing w:line="560" w:lineRule="exact"/>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级别</w:t>
            </w:r>
          </w:p>
        </w:tc>
        <w:tc>
          <w:tcPr>
            <w:tcW w:w="3315" w:type="dxa"/>
            <w:noWrap/>
            <w:vAlign w:val="center"/>
          </w:tcPr>
          <w:p>
            <w:pPr>
              <w:spacing w:line="560" w:lineRule="exact"/>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赛事名称</w:t>
            </w:r>
          </w:p>
        </w:tc>
        <w:tc>
          <w:tcPr>
            <w:tcW w:w="3765" w:type="dxa"/>
            <w:noWrap/>
            <w:vAlign w:val="center"/>
          </w:tcPr>
          <w:p>
            <w:pPr>
              <w:spacing w:line="560" w:lineRule="exact"/>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主办单位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216" w:type="dxa"/>
            <w:vMerge w:val="restart"/>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国家级及以上</w:t>
            </w:r>
          </w:p>
        </w:tc>
        <w:tc>
          <w:tcPr>
            <w:tcW w:w="331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IFLA规划设计竞赛及相关奖项（包含亚太及相关地区）</w:t>
            </w:r>
          </w:p>
        </w:tc>
        <w:tc>
          <w:tcPr>
            <w:tcW w:w="376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国际风景园林师联合会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216" w:type="dxa"/>
            <w:vMerge w:val="continue"/>
            <w:noWrap/>
            <w:vAlign w:val="center"/>
          </w:tcPr>
          <w:p>
            <w:pPr>
              <w:spacing w:line="560" w:lineRule="exact"/>
              <w:jc w:val="center"/>
              <w:rPr>
                <w:rFonts w:ascii="仿宋_GB2312" w:hAnsi="仿宋_GB2312" w:eastAsia="仿宋_GB2312" w:cs="仿宋_GB2312"/>
                <w:sz w:val="32"/>
                <w:szCs w:val="32"/>
              </w:rPr>
            </w:pPr>
          </w:p>
        </w:tc>
        <w:tc>
          <w:tcPr>
            <w:tcW w:w="331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LI年度设计奖项</w:t>
            </w:r>
          </w:p>
        </w:tc>
        <w:tc>
          <w:tcPr>
            <w:tcW w:w="376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英国皇家风景园林学会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216" w:type="dxa"/>
            <w:vMerge w:val="continue"/>
            <w:noWrap/>
            <w:vAlign w:val="center"/>
          </w:tcPr>
          <w:p>
            <w:pPr>
              <w:spacing w:line="560" w:lineRule="exact"/>
              <w:jc w:val="center"/>
              <w:rPr>
                <w:rFonts w:ascii="仿宋_GB2312" w:hAnsi="仿宋_GB2312" w:eastAsia="仿宋_GB2312" w:cs="仿宋_GB2312"/>
                <w:sz w:val="32"/>
                <w:szCs w:val="32"/>
              </w:rPr>
            </w:pPr>
          </w:p>
        </w:tc>
        <w:tc>
          <w:tcPr>
            <w:tcW w:w="331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中、日、韩大学生风景园林设计竞赛</w:t>
            </w:r>
          </w:p>
        </w:tc>
        <w:tc>
          <w:tcPr>
            <w:tcW w:w="376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中国风景园林学会、日本造园学会、韩国造景学会联合举办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216" w:type="dxa"/>
            <w:vMerge w:val="continue"/>
            <w:noWrap/>
            <w:vAlign w:val="center"/>
          </w:tcPr>
          <w:p>
            <w:pPr>
              <w:spacing w:line="560" w:lineRule="exact"/>
              <w:jc w:val="center"/>
              <w:rPr>
                <w:rFonts w:ascii="仿宋_GB2312" w:hAnsi="仿宋_GB2312" w:eastAsia="仿宋_GB2312" w:cs="仿宋_GB2312"/>
                <w:sz w:val="32"/>
                <w:szCs w:val="32"/>
              </w:rPr>
            </w:pPr>
          </w:p>
        </w:tc>
        <w:tc>
          <w:tcPr>
            <w:tcW w:w="331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ASLA年度学生设计奖项</w:t>
            </w:r>
          </w:p>
        </w:tc>
        <w:tc>
          <w:tcPr>
            <w:tcW w:w="376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美国风景园林学会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216" w:type="dxa"/>
            <w:vMerge w:val="continue"/>
            <w:noWrap/>
            <w:vAlign w:val="center"/>
          </w:tcPr>
          <w:p>
            <w:pPr>
              <w:spacing w:line="560" w:lineRule="exact"/>
              <w:jc w:val="center"/>
              <w:rPr>
                <w:rFonts w:ascii="仿宋_GB2312" w:hAnsi="仿宋_GB2312" w:eastAsia="仿宋_GB2312" w:cs="仿宋_GB2312"/>
                <w:sz w:val="32"/>
                <w:szCs w:val="32"/>
              </w:rPr>
            </w:pPr>
          </w:p>
        </w:tc>
        <w:tc>
          <w:tcPr>
            <w:tcW w:w="331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BALI年度设计奖</w:t>
            </w:r>
          </w:p>
        </w:tc>
        <w:tc>
          <w:tcPr>
            <w:tcW w:w="376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英国景观行业协会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216" w:type="dxa"/>
            <w:vMerge w:val="continue"/>
            <w:noWrap/>
            <w:vAlign w:val="center"/>
          </w:tcPr>
          <w:p>
            <w:pPr>
              <w:spacing w:line="560" w:lineRule="exact"/>
              <w:jc w:val="center"/>
              <w:rPr>
                <w:rFonts w:ascii="仿宋_GB2312" w:hAnsi="仿宋_GB2312" w:eastAsia="仿宋_GB2312" w:cs="仿宋_GB2312"/>
                <w:sz w:val="32"/>
                <w:szCs w:val="32"/>
              </w:rPr>
            </w:pPr>
          </w:p>
        </w:tc>
        <w:tc>
          <w:tcPr>
            <w:tcW w:w="331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“挑战杯”竞赛</w:t>
            </w:r>
          </w:p>
        </w:tc>
        <w:tc>
          <w:tcPr>
            <w:tcW w:w="376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团中央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1216" w:type="dxa"/>
            <w:vMerge w:val="continue"/>
            <w:noWrap/>
            <w:vAlign w:val="center"/>
          </w:tcPr>
          <w:p>
            <w:pPr>
              <w:spacing w:line="560" w:lineRule="exact"/>
              <w:jc w:val="center"/>
              <w:rPr>
                <w:rFonts w:ascii="仿宋_GB2312" w:hAnsi="仿宋_GB2312" w:eastAsia="仿宋_GB2312" w:cs="仿宋_GB2312"/>
                <w:sz w:val="32"/>
                <w:szCs w:val="32"/>
              </w:rPr>
            </w:pPr>
          </w:p>
        </w:tc>
        <w:tc>
          <w:tcPr>
            <w:tcW w:w="331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全国大学生数学建模竞赛</w:t>
            </w:r>
          </w:p>
        </w:tc>
        <w:tc>
          <w:tcPr>
            <w:tcW w:w="376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216" w:type="dxa"/>
            <w:vMerge w:val="continue"/>
            <w:noWrap/>
            <w:vAlign w:val="center"/>
          </w:tcPr>
          <w:p>
            <w:pPr>
              <w:spacing w:line="560" w:lineRule="exact"/>
              <w:jc w:val="center"/>
              <w:rPr>
                <w:rFonts w:ascii="仿宋_GB2312" w:hAnsi="仿宋_GB2312" w:eastAsia="仿宋_GB2312" w:cs="仿宋_GB2312"/>
                <w:sz w:val="32"/>
                <w:szCs w:val="32"/>
              </w:rPr>
            </w:pPr>
          </w:p>
        </w:tc>
        <w:tc>
          <w:tcPr>
            <w:tcW w:w="331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全国大学生电子设计竞赛</w:t>
            </w:r>
          </w:p>
        </w:tc>
        <w:tc>
          <w:tcPr>
            <w:tcW w:w="376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216" w:type="dxa"/>
            <w:vMerge w:val="continue"/>
            <w:noWrap/>
            <w:vAlign w:val="center"/>
          </w:tcPr>
          <w:p>
            <w:pPr>
              <w:spacing w:line="560" w:lineRule="exact"/>
              <w:jc w:val="center"/>
              <w:rPr>
                <w:rFonts w:ascii="仿宋_GB2312" w:hAnsi="仿宋_GB2312" w:eastAsia="仿宋_GB2312" w:cs="仿宋_GB2312"/>
                <w:sz w:val="32"/>
                <w:szCs w:val="32"/>
              </w:rPr>
            </w:pPr>
          </w:p>
        </w:tc>
        <w:tc>
          <w:tcPr>
            <w:tcW w:w="331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全国大学生机械创新设计大赛</w:t>
            </w:r>
          </w:p>
        </w:tc>
        <w:tc>
          <w:tcPr>
            <w:tcW w:w="376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216" w:type="dxa"/>
            <w:vMerge w:val="continue"/>
            <w:noWrap/>
            <w:vAlign w:val="center"/>
          </w:tcPr>
          <w:p>
            <w:pPr>
              <w:spacing w:line="560" w:lineRule="exact"/>
              <w:jc w:val="center"/>
              <w:rPr>
                <w:rFonts w:ascii="仿宋_GB2312" w:hAnsi="仿宋_GB2312" w:eastAsia="仿宋_GB2312" w:cs="仿宋_GB2312"/>
                <w:sz w:val="32"/>
                <w:szCs w:val="32"/>
              </w:rPr>
            </w:pPr>
          </w:p>
        </w:tc>
        <w:tc>
          <w:tcPr>
            <w:tcW w:w="331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全国大学生英语竞赛</w:t>
            </w:r>
          </w:p>
        </w:tc>
        <w:tc>
          <w:tcPr>
            <w:tcW w:w="376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216" w:type="dxa"/>
            <w:vMerge w:val="continue"/>
            <w:noWrap/>
            <w:vAlign w:val="center"/>
          </w:tcPr>
          <w:p>
            <w:pPr>
              <w:spacing w:line="560" w:lineRule="exact"/>
              <w:jc w:val="center"/>
              <w:rPr>
                <w:rFonts w:ascii="仿宋_GB2312" w:hAnsi="仿宋_GB2312" w:eastAsia="仿宋_GB2312" w:cs="仿宋_GB2312"/>
                <w:sz w:val="32"/>
                <w:szCs w:val="32"/>
              </w:rPr>
            </w:pPr>
          </w:p>
        </w:tc>
        <w:tc>
          <w:tcPr>
            <w:tcW w:w="3315" w:type="dxa"/>
            <w:noWrap/>
            <w:vAlign w:val="center"/>
          </w:tcPr>
          <w:p>
            <w:pPr>
              <w:spacing w:line="56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中国人居环境设计学年奖</w:t>
            </w:r>
          </w:p>
        </w:tc>
        <w:tc>
          <w:tcPr>
            <w:tcW w:w="3765" w:type="dxa"/>
            <w:noWrap/>
            <w:vAlign w:val="center"/>
          </w:tcPr>
          <w:p>
            <w:pPr>
              <w:spacing w:line="56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设计学类教指委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216" w:type="dxa"/>
            <w:vMerge w:val="continue"/>
            <w:noWrap/>
            <w:vAlign w:val="center"/>
          </w:tcPr>
          <w:p>
            <w:pPr>
              <w:spacing w:line="560" w:lineRule="exact"/>
              <w:jc w:val="center"/>
              <w:rPr>
                <w:rFonts w:ascii="仿宋_GB2312" w:hAnsi="仿宋_GB2312" w:eastAsia="仿宋_GB2312" w:cs="仿宋_GB2312"/>
                <w:sz w:val="32"/>
                <w:szCs w:val="32"/>
              </w:rPr>
            </w:pPr>
          </w:p>
        </w:tc>
        <w:tc>
          <w:tcPr>
            <w:tcW w:w="3315" w:type="dxa"/>
            <w:noWrap/>
            <w:vAlign w:val="center"/>
          </w:tcPr>
          <w:p>
            <w:pPr>
              <w:spacing w:line="56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b w:val="0"/>
                <w:bCs/>
                <w:sz w:val="32"/>
                <w:szCs w:val="32"/>
              </w:rPr>
              <w:t>中国风景园林学会大学生设计竞赛</w:t>
            </w:r>
          </w:p>
        </w:tc>
        <w:tc>
          <w:tcPr>
            <w:tcW w:w="3765" w:type="dxa"/>
            <w:noWrap/>
            <w:vAlign w:val="center"/>
          </w:tcPr>
          <w:p>
            <w:pPr>
              <w:spacing w:line="56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中国风景园林学会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216" w:type="dxa"/>
            <w:vMerge w:val="continue"/>
            <w:noWrap/>
            <w:vAlign w:val="center"/>
          </w:tcPr>
          <w:p>
            <w:pPr>
              <w:spacing w:line="560" w:lineRule="exact"/>
              <w:jc w:val="center"/>
              <w:rPr>
                <w:rFonts w:ascii="仿宋_GB2312" w:hAnsi="仿宋_GB2312" w:eastAsia="仿宋_GB2312" w:cs="仿宋_GB2312"/>
                <w:sz w:val="32"/>
                <w:szCs w:val="32"/>
              </w:rPr>
            </w:pPr>
          </w:p>
        </w:tc>
        <w:tc>
          <w:tcPr>
            <w:tcW w:w="3315" w:type="dxa"/>
            <w:noWrap/>
            <w:vAlign w:val="center"/>
          </w:tcPr>
          <w:p>
            <w:pPr>
              <w:spacing w:line="560" w:lineRule="exact"/>
              <w:jc w:val="center"/>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中国风景园林</w:t>
            </w:r>
            <w:r>
              <w:rPr>
                <w:rFonts w:hint="eastAsia" w:ascii="仿宋_GB2312" w:hAnsi="仿宋_GB2312" w:eastAsia="仿宋_GB2312" w:cs="仿宋_GB2312"/>
                <w:b w:val="0"/>
                <w:bCs/>
                <w:sz w:val="32"/>
                <w:szCs w:val="32"/>
                <w:lang w:val="en-US" w:eastAsia="zh-CN"/>
              </w:rPr>
              <w:t>教育大会</w:t>
            </w:r>
            <w:r>
              <w:rPr>
                <w:rFonts w:hint="eastAsia" w:ascii="仿宋_GB2312" w:hAnsi="仿宋_GB2312" w:eastAsia="仿宋_GB2312" w:cs="仿宋_GB2312"/>
                <w:b w:val="0"/>
                <w:bCs/>
                <w:sz w:val="32"/>
                <w:szCs w:val="32"/>
              </w:rPr>
              <w:t>学生设计竞赛</w:t>
            </w:r>
          </w:p>
        </w:tc>
        <w:tc>
          <w:tcPr>
            <w:tcW w:w="3765" w:type="dxa"/>
            <w:noWrap/>
            <w:vAlign w:val="center"/>
          </w:tcPr>
          <w:p>
            <w:pPr>
              <w:spacing w:line="560" w:lineRule="exact"/>
              <w:jc w:val="cente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中国风景园林学会</w:t>
            </w:r>
            <w:r>
              <w:rPr>
                <w:rFonts w:hint="eastAsia" w:ascii="仿宋_GB2312" w:hAnsi="仿宋_GB2312" w:eastAsia="仿宋_GB2312" w:cs="仿宋_GB2312"/>
                <w:sz w:val="32"/>
                <w:szCs w:val="32"/>
                <w:lang w:val="en-US" w:eastAsia="zh-CN"/>
              </w:rPr>
              <w:t>教育工作委员会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216" w:type="dxa"/>
            <w:vMerge w:val="restart"/>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省部级</w:t>
            </w:r>
          </w:p>
        </w:tc>
        <w:tc>
          <w:tcPr>
            <w:tcW w:w="331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美丽奖世界园林景观规划设计大赛</w:t>
            </w:r>
          </w:p>
        </w:tc>
        <w:tc>
          <w:tcPr>
            <w:tcW w:w="376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世界屋顶绿化协会主办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216" w:type="dxa"/>
            <w:vMerge w:val="continue"/>
            <w:noWrap/>
            <w:vAlign w:val="center"/>
          </w:tcPr>
          <w:p>
            <w:pPr>
              <w:spacing w:line="560" w:lineRule="exact"/>
              <w:jc w:val="center"/>
              <w:rPr>
                <w:rFonts w:ascii="仿宋_GB2312" w:hAnsi="仿宋_GB2312" w:eastAsia="仿宋_GB2312" w:cs="仿宋_GB2312"/>
                <w:sz w:val="32"/>
                <w:szCs w:val="32"/>
              </w:rPr>
            </w:pPr>
          </w:p>
        </w:tc>
        <w:tc>
          <w:tcPr>
            <w:tcW w:w="331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园冶杯大学生国际竞赛</w:t>
            </w:r>
          </w:p>
        </w:tc>
        <w:tc>
          <w:tcPr>
            <w:tcW w:w="376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亚洲风景园林学会主办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216" w:type="dxa"/>
            <w:vMerge w:val="continue"/>
            <w:noWrap/>
            <w:vAlign w:val="center"/>
          </w:tcPr>
          <w:p>
            <w:pPr>
              <w:spacing w:line="560" w:lineRule="exact"/>
              <w:jc w:val="center"/>
              <w:rPr>
                <w:rFonts w:ascii="仿宋_GB2312" w:hAnsi="仿宋_GB2312" w:eastAsia="仿宋_GB2312" w:cs="仿宋_GB2312"/>
                <w:sz w:val="32"/>
                <w:szCs w:val="32"/>
              </w:rPr>
            </w:pPr>
          </w:p>
        </w:tc>
        <w:tc>
          <w:tcPr>
            <w:tcW w:w="331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Garden花园杯植物景观设计竞赛</w:t>
            </w:r>
          </w:p>
        </w:tc>
        <w:tc>
          <w:tcPr>
            <w:tcW w:w="376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中国风景园林学会教育工作委员会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216" w:type="dxa"/>
            <w:vMerge w:val="continue"/>
            <w:noWrap/>
            <w:vAlign w:val="center"/>
          </w:tcPr>
          <w:p>
            <w:pPr>
              <w:spacing w:line="560" w:lineRule="exact"/>
              <w:jc w:val="center"/>
              <w:rPr>
                <w:rFonts w:ascii="仿宋_GB2312" w:hAnsi="仿宋_GB2312" w:eastAsia="仿宋_GB2312" w:cs="仿宋_GB2312"/>
                <w:sz w:val="32"/>
                <w:szCs w:val="32"/>
              </w:rPr>
            </w:pPr>
          </w:p>
        </w:tc>
        <w:tc>
          <w:tcPr>
            <w:tcW w:w="331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LA先锋</w:t>
            </w:r>
          </w:p>
        </w:tc>
        <w:tc>
          <w:tcPr>
            <w:tcW w:w="376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北京大学建筑与景观设计学院和福州大学建筑学院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216" w:type="dxa"/>
            <w:vMerge w:val="continue"/>
            <w:noWrap/>
            <w:vAlign w:val="center"/>
          </w:tcPr>
          <w:p>
            <w:pPr>
              <w:spacing w:line="560" w:lineRule="exact"/>
              <w:jc w:val="center"/>
              <w:rPr>
                <w:rFonts w:ascii="仿宋_GB2312" w:hAnsi="仿宋_GB2312" w:eastAsia="仿宋_GB2312" w:cs="仿宋_GB2312"/>
                <w:sz w:val="32"/>
                <w:szCs w:val="32"/>
              </w:rPr>
            </w:pPr>
          </w:p>
        </w:tc>
        <w:tc>
          <w:tcPr>
            <w:tcW w:w="331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中国环艺设计学年奖</w:t>
            </w:r>
          </w:p>
        </w:tc>
        <w:tc>
          <w:tcPr>
            <w:tcW w:w="376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中国建筑学会室内设计分会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216" w:type="dxa"/>
            <w:vMerge w:val="continue"/>
            <w:noWrap/>
            <w:vAlign w:val="center"/>
          </w:tcPr>
          <w:p>
            <w:pPr>
              <w:spacing w:line="560" w:lineRule="exact"/>
              <w:jc w:val="center"/>
              <w:rPr>
                <w:rFonts w:ascii="仿宋_GB2312" w:hAnsi="仿宋_GB2312" w:eastAsia="仿宋_GB2312" w:cs="仿宋_GB2312"/>
                <w:sz w:val="32"/>
                <w:szCs w:val="32"/>
              </w:rPr>
            </w:pPr>
          </w:p>
        </w:tc>
        <w:tc>
          <w:tcPr>
            <w:tcW w:w="331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创意中国全国设计艺术大奖赛</w:t>
            </w:r>
          </w:p>
        </w:tc>
        <w:tc>
          <w:tcPr>
            <w:tcW w:w="376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中国设计师协会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216" w:type="dxa"/>
            <w:vMerge w:val="continue"/>
            <w:noWrap/>
            <w:vAlign w:val="center"/>
          </w:tcPr>
          <w:p>
            <w:pPr>
              <w:spacing w:line="560" w:lineRule="exact"/>
              <w:jc w:val="center"/>
              <w:rPr>
                <w:rFonts w:ascii="仿宋_GB2312" w:hAnsi="仿宋_GB2312" w:eastAsia="仿宋_GB2312" w:cs="仿宋_GB2312"/>
                <w:sz w:val="32"/>
                <w:szCs w:val="32"/>
              </w:rPr>
            </w:pPr>
          </w:p>
        </w:tc>
        <w:tc>
          <w:tcPr>
            <w:tcW w:w="3315" w:type="dxa"/>
            <w:noWrap/>
            <w:vAlign w:val="center"/>
          </w:tcPr>
          <w:p>
            <w:pPr>
              <w:spacing w:line="560" w:lineRule="exact"/>
              <w:jc w:val="center"/>
              <w:rPr>
                <w:rFonts w:hint="default" w:ascii="仿宋_GB2312" w:hAnsi="仿宋_GB2312" w:eastAsia="仿宋_GB2312" w:cs="仿宋_GB2312"/>
                <w:b/>
                <w:sz w:val="32"/>
                <w:szCs w:val="32"/>
                <w:lang w:val="en-US" w:eastAsia="zh-CN"/>
              </w:rPr>
            </w:pPr>
            <w:r>
              <w:rPr>
                <w:rFonts w:hint="eastAsia" w:ascii="仿宋_GB2312" w:hAnsi="仿宋_GB2312" w:eastAsia="仿宋_GB2312" w:cs="仿宋_GB2312"/>
                <w:b w:val="0"/>
                <w:bCs/>
                <w:sz w:val="32"/>
                <w:szCs w:val="32"/>
                <w:lang w:val="en-US" w:eastAsia="zh-CN"/>
              </w:rPr>
              <w:t>亚洲设计学年奖</w:t>
            </w:r>
          </w:p>
        </w:tc>
        <w:tc>
          <w:tcPr>
            <w:tcW w:w="376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亚洲城市与建筑联盟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216" w:type="dxa"/>
            <w:vMerge w:val="restart"/>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市级</w:t>
            </w:r>
          </w:p>
        </w:tc>
        <w:tc>
          <w:tcPr>
            <w:tcW w:w="331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广州园林博览会学生设计竞赛</w:t>
            </w:r>
          </w:p>
        </w:tc>
        <w:tc>
          <w:tcPr>
            <w:tcW w:w="376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广东园林学会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216" w:type="dxa"/>
            <w:vMerge w:val="continue"/>
            <w:noWrap/>
            <w:vAlign w:val="center"/>
          </w:tcPr>
          <w:p>
            <w:pPr>
              <w:spacing w:line="560" w:lineRule="exact"/>
              <w:jc w:val="center"/>
              <w:rPr>
                <w:rFonts w:ascii="仿宋_GB2312" w:hAnsi="仿宋_GB2312" w:eastAsia="仿宋_GB2312" w:cs="仿宋_GB2312"/>
                <w:sz w:val="32"/>
                <w:szCs w:val="32"/>
              </w:rPr>
            </w:pPr>
          </w:p>
        </w:tc>
        <w:tc>
          <w:tcPr>
            <w:tcW w:w="331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羊盟杯设计竞赛</w:t>
            </w:r>
          </w:p>
        </w:tc>
        <w:tc>
          <w:tcPr>
            <w:tcW w:w="376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羊城设计联盟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216"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校级</w:t>
            </w:r>
          </w:p>
        </w:tc>
        <w:tc>
          <w:tcPr>
            <w:tcW w:w="331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丁颖杯</w:t>
            </w:r>
          </w:p>
        </w:tc>
        <w:tc>
          <w:tcPr>
            <w:tcW w:w="376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校团委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216"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院级</w:t>
            </w:r>
          </w:p>
        </w:tc>
        <w:tc>
          <w:tcPr>
            <w:tcW w:w="331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文献综述大赛</w:t>
            </w:r>
          </w:p>
        </w:tc>
        <w:tc>
          <w:tcPr>
            <w:tcW w:w="3765" w:type="dxa"/>
            <w:noWrap/>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院团委</w:t>
            </w:r>
          </w:p>
        </w:tc>
      </w:tr>
    </w:tbl>
    <w:p>
      <w:pPr>
        <w:widowControl/>
        <w:spacing w:line="560" w:lineRule="exact"/>
        <w:rPr>
          <w:rFonts w:ascii="仿宋_GB2312" w:hAnsi="宋体" w:eastAsia="仿宋_GB2312" w:cs="宋体"/>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hYzlmM2NkNzEzZTE4NjZkNWM4ZjNiNDY1N2E1NWYifQ=="/>
  </w:docVars>
  <w:rsids>
    <w:rsidRoot w:val="00C77606"/>
    <w:rsid w:val="000055C5"/>
    <w:rsid w:val="000267F4"/>
    <w:rsid w:val="00034513"/>
    <w:rsid w:val="00070B7C"/>
    <w:rsid w:val="00074051"/>
    <w:rsid w:val="00077D1C"/>
    <w:rsid w:val="00093FBF"/>
    <w:rsid w:val="000A7F59"/>
    <w:rsid w:val="000D4080"/>
    <w:rsid w:val="000E31EF"/>
    <w:rsid w:val="00114E85"/>
    <w:rsid w:val="00143737"/>
    <w:rsid w:val="00155BCB"/>
    <w:rsid w:val="0015797F"/>
    <w:rsid w:val="001617ED"/>
    <w:rsid w:val="00167C9F"/>
    <w:rsid w:val="001B08E7"/>
    <w:rsid w:val="001E7236"/>
    <w:rsid w:val="001F62D1"/>
    <w:rsid w:val="002211CE"/>
    <w:rsid w:val="0022209C"/>
    <w:rsid w:val="00242670"/>
    <w:rsid w:val="00265D0B"/>
    <w:rsid w:val="0027144B"/>
    <w:rsid w:val="00273627"/>
    <w:rsid w:val="002806D8"/>
    <w:rsid w:val="002A0C7B"/>
    <w:rsid w:val="002B762A"/>
    <w:rsid w:val="0032170C"/>
    <w:rsid w:val="003256BE"/>
    <w:rsid w:val="003E0043"/>
    <w:rsid w:val="00412C08"/>
    <w:rsid w:val="00433452"/>
    <w:rsid w:val="00440096"/>
    <w:rsid w:val="00447A1B"/>
    <w:rsid w:val="00493AC9"/>
    <w:rsid w:val="004E3D79"/>
    <w:rsid w:val="004F7D2E"/>
    <w:rsid w:val="00505D05"/>
    <w:rsid w:val="00512A92"/>
    <w:rsid w:val="00564BA5"/>
    <w:rsid w:val="00573C10"/>
    <w:rsid w:val="005D15ED"/>
    <w:rsid w:val="005D7AA3"/>
    <w:rsid w:val="005E1D8B"/>
    <w:rsid w:val="005F4AB4"/>
    <w:rsid w:val="005F65ED"/>
    <w:rsid w:val="0060471E"/>
    <w:rsid w:val="00667385"/>
    <w:rsid w:val="006D6FD1"/>
    <w:rsid w:val="006F4085"/>
    <w:rsid w:val="007421B2"/>
    <w:rsid w:val="00775CD6"/>
    <w:rsid w:val="007E3302"/>
    <w:rsid w:val="007F5679"/>
    <w:rsid w:val="007F6A9E"/>
    <w:rsid w:val="00810202"/>
    <w:rsid w:val="00826777"/>
    <w:rsid w:val="00895F94"/>
    <w:rsid w:val="008A0112"/>
    <w:rsid w:val="008A17B6"/>
    <w:rsid w:val="008C174A"/>
    <w:rsid w:val="00924829"/>
    <w:rsid w:val="00926D2D"/>
    <w:rsid w:val="009570CB"/>
    <w:rsid w:val="009B77A2"/>
    <w:rsid w:val="009F6460"/>
    <w:rsid w:val="009F7541"/>
    <w:rsid w:val="009F79C9"/>
    <w:rsid w:val="00A55198"/>
    <w:rsid w:val="00A92D3F"/>
    <w:rsid w:val="00AB26E3"/>
    <w:rsid w:val="00AE4AB3"/>
    <w:rsid w:val="00B71C99"/>
    <w:rsid w:val="00BE0DDB"/>
    <w:rsid w:val="00C12100"/>
    <w:rsid w:val="00C15EBB"/>
    <w:rsid w:val="00C56617"/>
    <w:rsid w:val="00C72D1C"/>
    <w:rsid w:val="00C7729C"/>
    <w:rsid w:val="00C77606"/>
    <w:rsid w:val="00C8502A"/>
    <w:rsid w:val="00CB5DA3"/>
    <w:rsid w:val="00CB7EFF"/>
    <w:rsid w:val="00CC31C3"/>
    <w:rsid w:val="00CF3B44"/>
    <w:rsid w:val="00D1417D"/>
    <w:rsid w:val="00D570EF"/>
    <w:rsid w:val="00D80AC9"/>
    <w:rsid w:val="00DA1BEC"/>
    <w:rsid w:val="00DB27A5"/>
    <w:rsid w:val="00E234B8"/>
    <w:rsid w:val="00EE0E10"/>
    <w:rsid w:val="00F00BDD"/>
    <w:rsid w:val="00F3234A"/>
    <w:rsid w:val="00F458B1"/>
    <w:rsid w:val="00FB76AF"/>
    <w:rsid w:val="00FF03FC"/>
    <w:rsid w:val="174E6F8D"/>
    <w:rsid w:val="35255666"/>
    <w:rsid w:val="353D0179"/>
    <w:rsid w:val="3C732EB8"/>
    <w:rsid w:val="3CCD5B44"/>
    <w:rsid w:val="3F1F1907"/>
    <w:rsid w:val="40CA7417"/>
    <w:rsid w:val="42195517"/>
    <w:rsid w:val="45063770"/>
    <w:rsid w:val="47A63F09"/>
    <w:rsid w:val="490325E0"/>
    <w:rsid w:val="4E7519F9"/>
    <w:rsid w:val="51F376CB"/>
    <w:rsid w:val="5893412F"/>
    <w:rsid w:val="5C6857DF"/>
    <w:rsid w:val="5E840B61"/>
    <w:rsid w:val="66AF46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0"/>
    <w:pPr>
      <w:jc w:val="left"/>
    </w:pPr>
  </w:style>
  <w:style w:type="paragraph" w:styleId="3">
    <w:name w:val="Balloon Text"/>
    <w:basedOn w:val="1"/>
    <w:link w:val="14"/>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unhideWhenUsed/>
    <w:qFormat/>
    <w:uiPriority w:val="0"/>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unhideWhenUsed/>
    <w:qFormat/>
    <w:uiPriority w:val="99"/>
    <w:rPr>
      <w:color w:val="333333"/>
      <w:u w:val="none"/>
    </w:rPr>
  </w:style>
  <w:style w:type="character" w:styleId="11">
    <w:name w:val="annotation reference"/>
    <w:basedOn w:val="9"/>
    <w:semiHidden/>
    <w:unhideWhenUsed/>
    <w:qFormat/>
    <w:uiPriority w:val="0"/>
    <w:rPr>
      <w:sz w:val="21"/>
      <w:szCs w:val="21"/>
    </w:rPr>
  </w:style>
  <w:style w:type="character" w:customStyle="1" w:styleId="12">
    <w:name w:val="页眉 Char"/>
    <w:basedOn w:val="9"/>
    <w:link w:val="5"/>
    <w:semiHidden/>
    <w:qFormat/>
    <w:uiPriority w:val="99"/>
    <w:rPr>
      <w:sz w:val="18"/>
      <w:szCs w:val="18"/>
    </w:rPr>
  </w:style>
  <w:style w:type="character" w:customStyle="1" w:styleId="13">
    <w:name w:val="页脚 Char"/>
    <w:basedOn w:val="9"/>
    <w:link w:val="4"/>
    <w:semiHidden/>
    <w:qFormat/>
    <w:uiPriority w:val="99"/>
    <w:rPr>
      <w:sz w:val="18"/>
      <w:szCs w:val="18"/>
    </w:rPr>
  </w:style>
  <w:style w:type="character" w:customStyle="1" w:styleId="14">
    <w:name w:val="批注框文本 Char"/>
    <w:basedOn w:val="9"/>
    <w:link w:val="3"/>
    <w:semiHidden/>
    <w:qFormat/>
    <w:uiPriority w:val="99"/>
    <w:rPr>
      <w:sz w:val="18"/>
      <w:szCs w:val="18"/>
    </w:rPr>
  </w:style>
  <w:style w:type="character" w:customStyle="1" w:styleId="15">
    <w:name w:val="批注文字 Char"/>
    <w:basedOn w:val="9"/>
    <w:link w:val="2"/>
    <w:semiHidden/>
    <w:qFormat/>
    <w:uiPriority w:val="0"/>
    <w:rPr>
      <w:rFonts w:ascii="Calibri" w:hAnsi="Calibri" w:eastAsia="宋体" w:cs="黑体"/>
      <w:kern w:val="2"/>
      <w:sz w:val="21"/>
      <w:szCs w:val="22"/>
    </w:rPr>
  </w:style>
  <w:style w:type="character" w:customStyle="1" w:styleId="16">
    <w:name w:val="批注主题 Char"/>
    <w:basedOn w:val="15"/>
    <w:link w:val="6"/>
    <w:semiHidden/>
    <w:qFormat/>
    <w:uiPriority w:val="0"/>
    <w:rPr>
      <w:rFonts w:ascii="Calibri" w:hAnsi="Calibri" w:eastAsia="宋体" w:cs="黑体"/>
      <w:b/>
      <w:bCs/>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15</Pages>
  <Words>5440</Words>
  <Characters>5712</Characters>
  <Lines>44</Lines>
  <Paragraphs>12</Paragraphs>
  <TotalTime>16</TotalTime>
  <ScaleCrop>false</ScaleCrop>
  <LinksUpToDate>false</LinksUpToDate>
  <CharactersWithSpaces>5823</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2021-12-31T01:54:00Z</dcterms:created>
  <dc:creator>User</dc:creator>
  <cp:lastModifiedBy>Reya♬悦</cp:lastModifiedBy>
  <dcterms:modified xsi:type="dcterms:W3CDTF">2022-12-26T11:22:59Z</dcterms:modified>
  <dc:title>华南农业大学林学与风景园林学院研究生学业奖学金（老生）评选工作细则</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66CEC8D8E07D437BB13B96B9EF6DD019</vt:lpwstr>
  </property>
</Properties>
</file>